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textAlignment w:val="center"/>
        <w:rPr>
          <w:rFonts w:ascii="Times New Roman" w:hAnsi="Times New Roman" w:cs="Times New Roman" w:eastAsiaTheme="majorEastAsia"/>
          <w:color w:val="000000"/>
          <w:kern w:val="0"/>
          <w:sz w:val="44"/>
          <w:szCs w:val="44"/>
        </w:rPr>
      </w:pPr>
      <w:r>
        <w:rPr>
          <w:rFonts w:ascii="Times New Roman" w:cs="Times New Roman" w:hAnsiTheme="majorEastAsia" w:eastAsiaTheme="majorEastAsia"/>
          <w:color w:val="000000"/>
          <w:kern w:val="0"/>
          <w:sz w:val="44"/>
          <w:szCs w:val="44"/>
        </w:rPr>
        <w:t>学位授权点建设年度报告</w:t>
      </w:r>
    </w:p>
    <w:p>
      <w:pPr>
        <w:spacing w:after="156" w:line="560" w:lineRule="exact"/>
        <w:jc w:val="center"/>
        <w:textAlignment w:val="baseline"/>
        <w:rPr>
          <w:rStyle w:val="9"/>
          <w:rFonts w:ascii="Times New Roman" w:hAnsi="Times New Roman" w:cs="Times New Roman" w:eastAsiaTheme="majorEastAsia"/>
          <w:bCs/>
          <w:sz w:val="44"/>
          <w:szCs w:val="44"/>
        </w:rPr>
      </w:pPr>
    </w:p>
    <w:p>
      <w:pPr>
        <w:snapToGrid w:val="0"/>
        <w:jc w:val="center"/>
        <w:textAlignment w:val="baseline"/>
        <w:rPr>
          <w:rStyle w:val="9"/>
          <w:rFonts w:ascii="Times New Roman" w:hAnsi="Times New Roman" w:cs="Times New Roman" w:eastAsiaTheme="majorEastAsia"/>
          <w:b/>
          <w:sz w:val="48"/>
          <w:szCs w:val="20"/>
        </w:rPr>
      </w:pPr>
    </w:p>
    <w:p>
      <w:pPr>
        <w:snapToGrid w:val="0"/>
        <w:jc w:val="center"/>
        <w:textAlignment w:val="baseline"/>
        <w:rPr>
          <w:rStyle w:val="9"/>
          <w:rFonts w:ascii="Times New Roman" w:hAnsi="Times New Roman" w:cs="Times New Roman" w:eastAsiaTheme="majorEastAsia"/>
          <w:b/>
          <w:sz w:val="48"/>
          <w:szCs w:val="20"/>
        </w:rPr>
      </w:pPr>
    </w:p>
    <w:p>
      <w:pPr>
        <w:snapToGrid w:val="0"/>
        <w:spacing w:line="300" w:lineRule="auto"/>
        <w:jc w:val="center"/>
        <w:textAlignment w:val="baseline"/>
        <w:rPr>
          <w:rStyle w:val="9"/>
          <w:rFonts w:ascii="Times New Roman" w:hAnsi="Times New Roman" w:cs="Times New Roman" w:eastAsiaTheme="majorEastAsia"/>
          <w:b/>
          <w:szCs w:val="32"/>
        </w:rPr>
      </w:pPr>
    </w:p>
    <w:tbl>
      <w:tblPr>
        <w:tblStyle w:val="6"/>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pPr>
              <w:snapToGrid w:val="0"/>
              <w:spacing w:line="240" w:lineRule="atLeast"/>
              <w:jc w:val="center"/>
              <w:textAlignment w:val="baseline"/>
              <w:rPr>
                <w:rStyle w:val="9"/>
                <w:rFonts w:ascii="Times New Roman" w:hAnsi="Times New Roman" w:cs="Times New Roman" w:eastAsiaTheme="majorEastAsia"/>
                <w:b/>
                <w:spacing w:val="-10"/>
                <w:szCs w:val="32"/>
              </w:rPr>
            </w:pPr>
            <w:r>
              <w:rPr>
                <w:rStyle w:val="9"/>
                <w:rFonts w:ascii="Times New Roman" w:cs="Times New Roman" w:hAnsiTheme="majorEastAsia" w:eastAsiaTheme="majorEastAsia"/>
                <w:b/>
                <w:spacing w:val="-10"/>
                <w:szCs w:val="32"/>
              </w:rPr>
              <w:t>学院</w:t>
            </w:r>
          </w:p>
          <w:p>
            <w:pPr>
              <w:snapToGrid w:val="0"/>
              <w:spacing w:line="240" w:lineRule="atLeast"/>
              <w:jc w:val="center"/>
              <w:textAlignment w:val="baseline"/>
              <w:rPr>
                <w:rStyle w:val="9"/>
                <w:rFonts w:ascii="Times New Roman" w:hAnsi="Times New Roman" w:cs="Times New Roman" w:eastAsiaTheme="majorEastAsia"/>
                <w:b/>
                <w:spacing w:val="-10"/>
                <w:szCs w:val="32"/>
              </w:rPr>
            </w:pPr>
            <w:r>
              <w:rPr>
                <w:rStyle w:val="9"/>
                <w:rFonts w:ascii="Times New Roman" w:cs="Times New Roman" w:hAnsiTheme="majorEastAsia" w:eastAsiaTheme="majorEastAsia"/>
                <w:b/>
                <w:spacing w:val="-10"/>
                <w:szCs w:val="32"/>
              </w:rPr>
              <w:t>（公章）</w:t>
            </w:r>
          </w:p>
        </w:tc>
        <w:tc>
          <w:tcPr>
            <w:tcW w:w="3977" w:type="dxa"/>
            <w:tcBorders>
              <w:top w:val="nil"/>
              <w:left w:val="single" w:color="000000" w:sz="4" w:space="0"/>
              <w:bottom w:val="single" w:color="000000" w:sz="4" w:space="0"/>
              <w:right w:val="nil"/>
            </w:tcBorders>
            <w:vAlign w:val="center"/>
          </w:tcPr>
          <w:p>
            <w:pPr>
              <w:snapToGrid w:val="0"/>
              <w:spacing w:line="300" w:lineRule="auto"/>
              <w:textAlignment w:val="baseline"/>
              <w:rPr>
                <w:rStyle w:val="9"/>
                <w:rFonts w:ascii="Times New Roman" w:hAnsi="Times New Roman" w:cs="Times New Roman" w:eastAsiaTheme="majorEastAsia"/>
                <w:b/>
                <w:spacing w:val="-10"/>
                <w:szCs w:val="32"/>
              </w:rPr>
            </w:pPr>
            <w:r>
              <w:rPr>
                <w:rStyle w:val="9"/>
                <w:rFonts w:ascii="Times New Roman" w:cs="Times New Roman" w:hAnsiTheme="majorEastAsia" w:eastAsiaTheme="majorEastAsia"/>
                <w:b/>
                <w:spacing w:val="-10"/>
                <w:szCs w:val="32"/>
              </w:rPr>
              <w:t>学位点名称：应用统计</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pPr>
              <w:snapToGrid w:val="0"/>
              <w:spacing w:line="300" w:lineRule="auto"/>
              <w:jc w:val="center"/>
              <w:textAlignment w:val="baseline"/>
              <w:rPr>
                <w:rStyle w:val="9"/>
                <w:rFonts w:ascii="Times New Roman" w:hAnsi="Times New Roman" w:cs="Times New Roman" w:eastAsiaTheme="majorEastAsia"/>
                <w:b/>
                <w:spacing w:val="-10"/>
                <w:szCs w:val="32"/>
              </w:rPr>
            </w:pPr>
          </w:p>
        </w:tc>
        <w:tc>
          <w:tcPr>
            <w:tcW w:w="3977" w:type="dxa"/>
            <w:tcBorders>
              <w:top w:val="single" w:color="000000" w:sz="4" w:space="0"/>
              <w:left w:val="single" w:color="000000" w:sz="4" w:space="0"/>
              <w:bottom w:val="nil"/>
              <w:right w:val="nil"/>
            </w:tcBorders>
            <w:vAlign w:val="center"/>
          </w:tcPr>
          <w:p>
            <w:pPr>
              <w:snapToGrid w:val="0"/>
              <w:spacing w:line="300" w:lineRule="auto"/>
              <w:textAlignment w:val="baseline"/>
              <w:rPr>
                <w:rStyle w:val="9"/>
                <w:rFonts w:ascii="Times New Roman" w:hAnsi="Times New Roman" w:cs="Times New Roman" w:eastAsiaTheme="majorEastAsia"/>
                <w:b/>
                <w:spacing w:val="-10"/>
                <w:szCs w:val="32"/>
              </w:rPr>
            </w:pPr>
            <w:r>
              <w:rPr>
                <w:rStyle w:val="9"/>
                <w:rFonts w:ascii="Times New Roman" w:cs="Times New Roman" w:hAnsiTheme="majorEastAsia" w:eastAsiaTheme="majorEastAsia"/>
                <w:b/>
                <w:spacing w:val="-10"/>
                <w:szCs w:val="32"/>
              </w:rPr>
              <w:t>学位点代码：</w:t>
            </w:r>
            <w:r>
              <w:rPr>
                <w:rStyle w:val="9"/>
                <w:rFonts w:ascii="Times New Roman" w:hAnsi="Times New Roman" w:cs="Times New Roman" w:eastAsiaTheme="majorEastAsia"/>
                <w:b/>
                <w:spacing w:val="-10"/>
                <w:szCs w:val="32"/>
              </w:rPr>
              <w:t>0252</w:t>
            </w:r>
          </w:p>
        </w:tc>
      </w:tr>
    </w:tbl>
    <w:p>
      <w:pPr>
        <w:snapToGrid w:val="0"/>
        <w:spacing w:line="300" w:lineRule="auto"/>
        <w:jc w:val="center"/>
        <w:textAlignment w:val="baseline"/>
        <w:rPr>
          <w:rStyle w:val="9"/>
          <w:rFonts w:ascii="Times New Roman" w:hAnsi="Times New Roman" w:cs="Times New Roman" w:eastAsiaTheme="majorEastAsia"/>
          <w:b/>
          <w:sz w:val="48"/>
          <w:szCs w:val="20"/>
        </w:rPr>
      </w:pPr>
    </w:p>
    <w:p>
      <w:pPr>
        <w:spacing w:line="560" w:lineRule="exact"/>
        <w:jc w:val="center"/>
        <w:textAlignment w:val="baseline"/>
        <w:rPr>
          <w:rStyle w:val="9"/>
          <w:rFonts w:ascii="Times New Roman" w:hAnsi="Times New Roman" w:cs="Times New Roman" w:eastAsiaTheme="majorEastAsia"/>
          <w:b/>
          <w:sz w:val="30"/>
          <w:szCs w:val="30"/>
        </w:rPr>
      </w:pPr>
    </w:p>
    <w:p>
      <w:pPr>
        <w:pStyle w:val="10"/>
        <w:widowControl/>
        <w:rPr>
          <w:rStyle w:val="9"/>
          <w:rFonts w:ascii="Times New Roman" w:hAnsi="Times New Roman" w:cs="Times New Roman" w:eastAsiaTheme="majorEastAsia"/>
          <w:color w:val="auto"/>
          <w:szCs w:val="32"/>
        </w:rPr>
      </w:pPr>
    </w:p>
    <w:p>
      <w:pPr>
        <w:spacing w:line="560" w:lineRule="exact"/>
        <w:jc w:val="center"/>
        <w:textAlignment w:val="baseline"/>
        <w:rPr>
          <w:rStyle w:val="9"/>
          <w:rFonts w:ascii="Times New Roman" w:hAnsi="Times New Roman" w:cs="Times New Roman" w:eastAsiaTheme="majorEastAsia"/>
          <w:b/>
          <w:sz w:val="30"/>
          <w:szCs w:val="30"/>
        </w:rPr>
      </w:pPr>
    </w:p>
    <w:p>
      <w:pPr>
        <w:spacing w:line="560" w:lineRule="exact"/>
        <w:jc w:val="center"/>
        <w:textAlignment w:val="baseline"/>
        <w:rPr>
          <w:rStyle w:val="9"/>
          <w:rFonts w:ascii="Times New Roman" w:hAnsi="Times New Roman" w:cs="Times New Roman" w:eastAsiaTheme="majorEastAsia"/>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Style w:val="9"/>
          <w:rFonts w:ascii="Times New Roman" w:hAnsi="Times New Roman" w:cs="Times New Roman" w:eastAsiaTheme="majorEastAsia"/>
          <w:b/>
          <w:szCs w:val="32"/>
        </w:rPr>
        <w:t xml:space="preserve">2021 </w:t>
      </w:r>
      <w:r>
        <w:rPr>
          <w:rStyle w:val="9"/>
          <w:rFonts w:ascii="Times New Roman" w:cs="Times New Roman" w:hAnsiTheme="majorEastAsia" w:eastAsiaTheme="majorEastAsia"/>
          <w:b/>
          <w:szCs w:val="32"/>
        </w:rPr>
        <w:t>年</w:t>
      </w:r>
      <w:r>
        <w:rPr>
          <w:rStyle w:val="9"/>
          <w:rFonts w:ascii="Times New Roman" w:hAnsi="Times New Roman" w:cs="Times New Roman" w:eastAsiaTheme="majorEastAsia"/>
          <w:b/>
          <w:szCs w:val="32"/>
        </w:rPr>
        <w:t xml:space="preserve"> </w:t>
      </w:r>
      <w:r>
        <w:rPr>
          <w:rStyle w:val="9"/>
          <w:rFonts w:hint="eastAsia" w:ascii="Times New Roman" w:hAnsi="Times New Roman" w:cs="Times New Roman" w:eastAsiaTheme="majorEastAsia"/>
          <w:b/>
          <w:szCs w:val="32"/>
          <w:lang w:val="en-US"/>
        </w:rPr>
        <w:t>9</w:t>
      </w:r>
      <w:r>
        <w:rPr>
          <w:rStyle w:val="9"/>
          <w:rFonts w:ascii="Times New Roman" w:hAnsi="Times New Roman" w:cs="Times New Roman" w:eastAsiaTheme="majorEastAsia"/>
          <w:b/>
          <w:szCs w:val="32"/>
        </w:rPr>
        <w:t xml:space="preserve"> </w:t>
      </w:r>
      <w:r>
        <w:rPr>
          <w:rStyle w:val="9"/>
          <w:rFonts w:ascii="Times New Roman" w:cs="Times New Roman" w:hAnsiTheme="majorEastAsia" w:eastAsiaTheme="majorEastAsia"/>
          <w:b/>
          <w:szCs w:val="32"/>
        </w:rPr>
        <w:t>月</w:t>
      </w:r>
      <w:r>
        <w:rPr>
          <w:rStyle w:val="9"/>
          <w:rFonts w:ascii="Times New Roman" w:hAnsi="Times New Roman" w:cs="Times New Roman" w:eastAsiaTheme="majorEastAsia"/>
          <w:b/>
          <w:szCs w:val="32"/>
        </w:rPr>
        <w:t xml:space="preserve"> </w:t>
      </w:r>
      <w:r>
        <w:rPr>
          <w:rStyle w:val="9"/>
          <w:rFonts w:hint="eastAsia" w:ascii="Times New Roman" w:hAnsi="Times New Roman" w:cs="Times New Roman" w:eastAsiaTheme="majorEastAsia"/>
          <w:b/>
          <w:szCs w:val="32"/>
          <w:lang w:val="en-US"/>
        </w:rPr>
        <w:t>1</w:t>
      </w:r>
      <w:r>
        <w:rPr>
          <w:rStyle w:val="9"/>
          <w:rFonts w:ascii="Times New Roman" w:hAnsi="Times New Roman" w:cs="Times New Roman" w:eastAsiaTheme="majorEastAsia"/>
          <w:b/>
          <w:szCs w:val="32"/>
        </w:rPr>
        <w:t xml:space="preserve"> </w:t>
      </w:r>
      <w:r>
        <w:rPr>
          <w:rStyle w:val="9"/>
          <w:rFonts w:ascii="Times New Roman" w:cs="Times New Roman" w:hAnsiTheme="majorEastAsia" w:eastAsiaTheme="majorEastAsia"/>
          <w:b/>
          <w:szCs w:val="32"/>
        </w:rPr>
        <w:t>日</w:t>
      </w:r>
      <w:bookmarkStart w:id="3" w:name="_GoBack"/>
      <w:bookmarkEnd w:id="3"/>
    </w:p>
    <w:p>
      <w:pPr>
        <w:widowControl/>
        <w:spacing w:line="560" w:lineRule="exact"/>
        <w:textAlignment w:val="baseline"/>
        <w:rPr>
          <w:rStyle w:val="9"/>
          <w:rFonts w:ascii="Times New Roman" w:hAnsi="Times New Roman" w:cs="Times New Roman" w:eastAsiaTheme="majorEastAsia"/>
          <w:b/>
          <w:szCs w:val="32"/>
        </w:rPr>
      </w:pPr>
      <w:r>
        <w:rPr>
          <w:rStyle w:val="9"/>
          <w:rFonts w:ascii="Times New Roman" w:hAnsi="Times New Roman" w:cs="Times New Roman" w:eastAsiaTheme="majorEastAsia"/>
          <w:b/>
          <w:szCs w:val="32"/>
        </w:rPr>
        <w:t xml:space="preserve">    </w:t>
      </w:r>
      <w:r>
        <w:rPr>
          <w:rStyle w:val="9"/>
          <w:rFonts w:ascii="Times New Roman" w:cs="Times New Roman" w:hAnsiTheme="majorEastAsia" w:eastAsiaTheme="majorEastAsia"/>
          <w:b/>
          <w:sz w:val="30"/>
          <w:szCs w:val="30"/>
        </w:rPr>
        <w:t>一、总体</w:t>
      </w:r>
      <w:r>
        <w:rPr>
          <w:rStyle w:val="9"/>
          <w:rFonts w:ascii="Times New Roman" w:cs="Times New Roman" w:hAnsiTheme="majorEastAsia" w:eastAsiaTheme="majorEastAsia"/>
          <w:b/>
          <w:szCs w:val="32"/>
        </w:rPr>
        <w:t>概况</w:t>
      </w:r>
    </w:p>
    <w:p>
      <w:pPr>
        <w:pStyle w:val="2"/>
        <w:spacing w:line="560" w:lineRule="exact"/>
        <w:ind w:firstLine="562"/>
        <w:rPr>
          <w:rStyle w:val="9"/>
          <w:rFonts w:ascii="Times New Roman" w:hAnsi="Times New Roman" w:cs="Times New Roman" w:eastAsiaTheme="majorEastAsia"/>
          <w:b/>
          <w:color w:val="auto"/>
          <w:sz w:val="28"/>
          <w:szCs w:val="28"/>
        </w:rPr>
      </w:pPr>
      <w:r>
        <w:rPr>
          <w:rStyle w:val="9"/>
          <w:rFonts w:ascii="Times New Roman" w:hAnsi="Times New Roman" w:cs="Times New Roman" w:eastAsiaTheme="majorEastAsia"/>
          <w:b/>
          <w:color w:val="auto"/>
          <w:sz w:val="28"/>
          <w:szCs w:val="28"/>
        </w:rPr>
        <w:t>1.</w:t>
      </w:r>
      <w:r>
        <w:rPr>
          <w:rStyle w:val="9"/>
          <w:rFonts w:hint="eastAsia" w:ascii="Times New Roman" w:hAnsi="Times New Roman" w:cs="Times New Roman" w:eastAsiaTheme="majorEastAsia"/>
          <w:b/>
          <w:color w:val="auto"/>
          <w:sz w:val="28"/>
          <w:szCs w:val="28"/>
          <w:lang w:val="en-US"/>
        </w:rPr>
        <w:t xml:space="preserve"> </w:t>
      </w:r>
      <w:r>
        <w:rPr>
          <w:rStyle w:val="9"/>
          <w:rFonts w:ascii="Times New Roman" w:cs="Times New Roman" w:hAnsiTheme="majorEastAsia" w:eastAsiaTheme="majorEastAsia"/>
          <w:b/>
          <w:color w:val="auto"/>
          <w:sz w:val="28"/>
          <w:szCs w:val="28"/>
        </w:rPr>
        <w:t>学位授权点基本情况</w:t>
      </w:r>
    </w:p>
    <w:p>
      <w:pPr>
        <w:autoSpaceDE w:val="0"/>
        <w:autoSpaceDN w:val="0"/>
        <w:adjustRightInd w:val="0"/>
        <w:ind w:firstLine="560" w:firstLineChars="200"/>
        <w:rPr>
          <w:rFonts w:ascii="Times New Roman" w:cs="Times New Roman" w:hAnsiTheme="majorEastAsia" w:eastAsiaTheme="majorEastAsia"/>
          <w:color w:val="000000"/>
          <w:sz w:val="28"/>
          <w:szCs w:val="28"/>
          <w:u w:color="000000"/>
          <w:lang w:val="zh-TW" w:eastAsia="zh-TW"/>
        </w:rPr>
      </w:pPr>
      <w:r>
        <w:rPr>
          <w:rFonts w:ascii="Times New Roman" w:cs="Times New Roman" w:hAnsiTheme="majorEastAsia" w:eastAsiaTheme="majorEastAsia"/>
          <w:color w:val="000000"/>
          <w:sz w:val="28"/>
          <w:szCs w:val="28"/>
          <w:u w:color="000000"/>
          <w:lang w:val="zh-TW" w:eastAsia="zh-TW"/>
        </w:rPr>
        <w:t>应用统计专业属于统计学学科领域，是二十世纪以来迅速发展起来的专业，具有非常广泛的社会需求，在金融工程、经济规划和管理、产品质量控制、经营管理、医药卫生、交通工程、人文科学和社会科学等领域有着广泛应用。结合大数据时代技术发展、社会需求和专业优势，立足统计学前沿，面向各行业大数据分析与管理基本需求，本专业学位授权点培养具备统计学专业优势的高层次应用型人才。</w:t>
      </w:r>
    </w:p>
    <w:p>
      <w:pPr>
        <w:autoSpaceDE w:val="0"/>
        <w:autoSpaceDN w:val="0"/>
        <w:adjustRightInd w:val="0"/>
        <w:ind w:firstLine="560" w:firstLineChars="200"/>
        <w:rPr>
          <w:rFonts w:ascii="Times New Roman" w:hAnsi="Times New Roman" w:cs="Times New Roman" w:eastAsiaTheme="majorEastAsia"/>
          <w:color w:val="000000"/>
          <w:sz w:val="28"/>
          <w:szCs w:val="28"/>
          <w:u w:color="000000"/>
          <w:lang w:val="zh-TW" w:eastAsia="zh-TW"/>
        </w:rPr>
      </w:pPr>
      <w:r>
        <w:rPr>
          <w:rFonts w:ascii="Times New Roman" w:cs="Times New Roman" w:hAnsiTheme="majorEastAsia" w:eastAsiaTheme="majorEastAsia"/>
          <w:color w:val="000000"/>
          <w:sz w:val="28"/>
          <w:szCs w:val="28"/>
          <w:u w:color="000000"/>
          <w:lang w:val="zh-TW" w:eastAsia="zh-TW"/>
        </w:rPr>
        <w:t>兰州大学应用统计硕士专业获批于</w:t>
      </w:r>
      <w:r>
        <w:rPr>
          <w:rFonts w:ascii="Times New Roman" w:hAnsi="Times New Roman" w:cs="Times New Roman" w:eastAsiaTheme="majorEastAsia"/>
          <w:color w:val="000000"/>
          <w:sz w:val="28"/>
          <w:szCs w:val="28"/>
          <w:u w:color="000000"/>
          <w:lang w:val="zh-TW" w:eastAsia="zh-TW"/>
        </w:rPr>
        <w:t>2010</w:t>
      </w:r>
      <w:r>
        <w:rPr>
          <w:rFonts w:ascii="Times New Roman" w:cs="Times New Roman" w:hAnsiTheme="majorEastAsia" w:eastAsiaTheme="majorEastAsia"/>
          <w:color w:val="000000"/>
          <w:sz w:val="28"/>
          <w:szCs w:val="28"/>
          <w:u w:color="000000"/>
          <w:lang w:val="zh-TW" w:eastAsia="zh-TW"/>
        </w:rPr>
        <w:t>年，于</w:t>
      </w:r>
      <w:r>
        <w:rPr>
          <w:rFonts w:ascii="Times New Roman" w:hAnsi="Times New Roman" w:cs="Times New Roman" w:eastAsiaTheme="majorEastAsia"/>
          <w:color w:val="000000"/>
          <w:sz w:val="28"/>
          <w:szCs w:val="28"/>
          <w:u w:color="000000"/>
          <w:lang w:val="zh-TW" w:eastAsia="zh-TW"/>
        </w:rPr>
        <w:t>2011</w:t>
      </w:r>
      <w:r>
        <w:rPr>
          <w:rFonts w:ascii="Times New Roman" w:cs="Times New Roman" w:hAnsiTheme="majorEastAsia" w:eastAsiaTheme="majorEastAsia"/>
          <w:color w:val="000000"/>
          <w:sz w:val="28"/>
          <w:szCs w:val="28"/>
          <w:u w:color="000000"/>
          <w:lang w:val="zh-TW" w:eastAsia="zh-TW"/>
        </w:rPr>
        <w:t>年开始招生</w:t>
      </w:r>
      <w:r>
        <w:rPr>
          <w:rFonts w:hint="eastAsia" w:ascii="Times New Roman" w:cs="Times New Roman" w:hAnsiTheme="majorEastAsia" w:eastAsiaTheme="majorEastAsia"/>
          <w:color w:val="000000"/>
          <w:sz w:val="28"/>
          <w:szCs w:val="28"/>
          <w:u w:color="000000"/>
          <w:lang w:val="zh-TW" w:eastAsia="zh-CN"/>
        </w:rPr>
        <w:t>。</w:t>
      </w:r>
      <w:r>
        <w:rPr>
          <w:rFonts w:ascii="Times New Roman" w:cs="Times New Roman" w:hAnsiTheme="majorEastAsia" w:eastAsiaTheme="majorEastAsia"/>
          <w:color w:val="000000"/>
          <w:sz w:val="28"/>
          <w:szCs w:val="28"/>
          <w:u w:color="000000"/>
          <w:lang w:val="zh-TW" w:eastAsia="zh-TW"/>
        </w:rPr>
        <w:t>本专业学位授权点培养德、智、体、美、劳全面发展的社会主义合格建设者和可靠接班人。培养的研究生具有坚定正确的政治方向和正确的世界观、人生观和价值观，具有高度的事业心和社会责任感，具有良好的道德品质和学术修养，具有创新精神和实践能力</w:t>
      </w:r>
      <w:r>
        <w:rPr>
          <w:rFonts w:ascii="Times New Roman" w:hAnsi="Times New Roman" w:cs="Times New Roman" w:eastAsiaTheme="majorEastAsia"/>
          <w:color w:val="000000"/>
          <w:sz w:val="28"/>
          <w:szCs w:val="28"/>
          <w:u w:color="000000"/>
          <w:lang w:val="zh-TW" w:eastAsia="zh-TW"/>
        </w:rPr>
        <w:t>,</w:t>
      </w:r>
      <w:r>
        <w:rPr>
          <w:rFonts w:hint="default" w:ascii="Times New Roman" w:hAnsi="Times New Roman" w:cs="Times New Roman" w:eastAsiaTheme="majorEastAsia"/>
          <w:color w:val="000000"/>
          <w:sz w:val="28"/>
          <w:szCs w:val="28"/>
          <w:u w:color="000000"/>
          <w:lang w:val="en-US" w:eastAsia="zh-TW"/>
        </w:rPr>
        <w:t xml:space="preserve"> </w:t>
      </w:r>
      <w:r>
        <w:rPr>
          <w:rFonts w:ascii="Times New Roman" w:cs="Times New Roman" w:hAnsiTheme="majorEastAsia" w:eastAsiaTheme="majorEastAsia"/>
          <w:color w:val="000000"/>
          <w:sz w:val="28"/>
          <w:szCs w:val="28"/>
          <w:u w:color="000000"/>
          <w:lang w:val="zh-TW" w:eastAsia="zh-TW"/>
        </w:rPr>
        <w:t>具有良好的科学素质、严谨的治学态度及较强的开拓精神。</w:t>
      </w:r>
    </w:p>
    <w:p>
      <w:pPr>
        <w:autoSpaceDE w:val="0"/>
        <w:autoSpaceDN w:val="0"/>
        <w:adjustRightInd w:val="0"/>
        <w:ind w:firstLine="560" w:firstLineChars="200"/>
        <w:rPr>
          <w:rFonts w:ascii="Times New Roman" w:hAnsi="Times New Roman" w:cs="Times New Roman" w:eastAsiaTheme="majorEastAsia"/>
          <w:color w:val="000000"/>
          <w:sz w:val="28"/>
          <w:szCs w:val="28"/>
          <w:u w:color="000000"/>
          <w:lang w:val="zh-TW" w:eastAsia="zh-TW"/>
        </w:rPr>
      </w:pPr>
      <w:r>
        <w:rPr>
          <w:rFonts w:ascii="Times New Roman" w:cs="Times New Roman" w:hAnsiTheme="majorEastAsia" w:eastAsiaTheme="majorEastAsia"/>
          <w:color w:val="000000"/>
          <w:sz w:val="28"/>
          <w:szCs w:val="28"/>
          <w:u w:color="000000"/>
          <w:lang w:val="zh-TW" w:eastAsia="zh-TW"/>
        </w:rPr>
        <w:t>授权点</w:t>
      </w:r>
      <w:r>
        <w:rPr>
          <w:rFonts w:hint="eastAsia" w:ascii="Times New Roman" w:cs="Times New Roman" w:hAnsiTheme="majorEastAsia" w:eastAsiaTheme="majorEastAsia"/>
          <w:color w:val="000000"/>
          <w:sz w:val="28"/>
          <w:szCs w:val="28"/>
          <w:u w:color="000000"/>
          <w:lang w:val="en-US" w:eastAsia="zh-CN"/>
        </w:rPr>
        <w:t>设</w:t>
      </w:r>
      <w:r>
        <w:rPr>
          <w:rFonts w:ascii="Times New Roman" w:hAnsi="Times New Roman" w:cs="Times New Roman" w:eastAsiaTheme="majorEastAsia"/>
          <w:color w:val="000000"/>
          <w:sz w:val="28"/>
          <w:szCs w:val="28"/>
          <w:u w:color="000000"/>
          <w:lang w:val="zh-TW" w:eastAsia="zh-TW"/>
        </w:rPr>
        <w:t>“</w:t>
      </w:r>
      <w:r>
        <w:rPr>
          <w:rFonts w:ascii="Times New Roman" w:cs="Times New Roman" w:hAnsiTheme="majorEastAsia" w:eastAsiaTheme="majorEastAsia"/>
          <w:color w:val="000000"/>
          <w:sz w:val="28"/>
          <w:szCs w:val="28"/>
          <w:u w:color="000000"/>
          <w:lang w:val="zh-TW" w:eastAsia="zh-TW"/>
        </w:rPr>
        <w:t>统计</w:t>
      </w:r>
      <w:r>
        <w:rPr>
          <w:rFonts w:ascii="Times New Roman" w:hAnsi="Times New Roman" w:cs="Times New Roman" w:eastAsiaTheme="majorEastAsia"/>
          <w:color w:val="000000"/>
          <w:sz w:val="28"/>
          <w:szCs w:val="28"/>
          <w:u w:color="000000"/>
          <w:lang w:val="zh-TW" w:eastAsia="zh-TW"/>
        </w:rPr>
        <w:t>+</w:t>
      </w:r>
      <w:r>
        <w:rPr>
          <w:rFonts w:ascii="Times New Roman" w:cs="Times New Roman" w:hAnsiTheme="majorEastAsia" w:eastAsiaTheme="majorEastAsia"/>
          <w:color w:val="000000"/>
          <w:sz w:val="28"/>
          <w:szCs w:val="28"/>
          <w:u w:color="000000"/>
          <w:lang w:val="zh-TW" w:eastAsia="zh-TW"/>
        </w:rPr>
        <w:t>健康大数据</w:t>
      </w:r>
      <w:r>
        <w:rPr>
          <w:rFonts w:ascii="Times New Roman" w:hAnsi="Times New Roman" w:cs="Times New Roman" w:eastAsiaTheme="majorEastAsia"/>
          <w:color w:val="000000"/>
          <w:sz w:val="28"/>
          <w:szCs w:val="28"/>
          <w:u w:color="000000"/>
          <w:lang w:val="zh-TW" w:eastAsia="zh-TW"/>
        </w:rPr>
        <w:t>”</w:t>
      </w:r>
      <w:r>
        <w:rPr>
          <w:rFonts w:ascii="Times New Roman" w:cs="Times New Roman" w:hAnsiTheme="majorEastAsia" w:eastAsiaTheme="majorEastAsia"/>
          <w:color w:val="000000"/>
          <w:sz w:val="28"/>
          <w:szCs w:val="28"/>
          <w:u w:color="000000"/>
          <w:lang w:val="zh-TW" w:eastAsia="zh-TW"/>
        </w:rPr>
        <w:t>的生物与医学统计、</w:t>
      </w:r>
      <w:r>
        <w:rPr>
          <w:rFonts w:ascii="Times New Roman" w:hAnsi="Times New Roman" w:cs="Times New Roman" w:eastAsiaTheme="majorEastAsia"/>
          <w:color w:val="000000"/>
          <w:sz w:val="28"/>
          <w:szCs w:val="28"/>
          <w:u w:color="000000"/>
          <w:lang w:val="zh-TW" w:eastAsia="zh-TW"/>
        </w:rPr>
        <w:t>“</w:t>
      </w:r>
      <w:r>
        <w:rPr>
          <w:rFonts w:ascii="Times New Roman" w:cs="Times New Roman" w:hAnsiTheme="majorEastAsia" w:eastAsiaTheme="majorEastAsia"/>
          <w:color w:val="000000"/>
          <w:sz w:val="28"/>
          <w:szCs w:val="28"/>
          <w:u w:color="000000"/>
          <w:lang w:val="zh-TW" w:eastAsia="zh-TW"/>
        </w:rPr>
        <w:t>统计</w:t>
      </w:r>
      <w:r>
        <w:rPr>
          <w:rFonts w:ascii="Times New Roman" w:hAnsi="Times New Roman" w:cs="Times New Roman" w:eastAsiaTheme="majorEastAsia"/>
          <w:color w:val="000000"/>
          <w:sz w:val="28"/>
          <w:szCs w:val="28"/>
          <w:u w:color="000000"/>
          <w:lang w:val="zh-TW" w:eastAsia="zh-TW"/>
        </w:rPr>
        <w:t>+</w:t>
      </w:r>
      <w:r>
        <w:rPr>
          <w:rFonts w:ascii="Times New Roman" w:cs="Times New Roman" w:hAnsiTheme="majorEastAsia" w:eastAsiaTheme="majorEastAsia"/>
          <w:color w:val="000000"/>
          <w:sz w:val="28"/>
          <w:szCs w:val="28"/>
          <w:u w:color="000000"/>
          <w:lang w:val="zh-TW" w:eastAsia="zh-TW"/>
        </w:rPr>
        <w:t>金融保险大数据</w:t>
      </w:r>
      <w:r>
        <w:rPr>
          <w:rFonts w:ascii="Times New Roman" w:hAnsi="Times New Roman" w:cs="Times New Roman" w:eastAsiaTheme="majorEastAsia"/>
          <w:color w:val="000000"/>
          <w:sz w:val="28"/>
          <w:szCs w:val="28"/>
          <w:u w:color="000000"/>
          <w:lang w:val="zh-TW" w:eastAsia="zh-TW"/>
        </w:rPr>
        <w:t>”</w:t>
      </w:r>
      <w:r>
        <w:rPr>
          <w:rFonts w:ascii="Times New Roman" w:cs="Times New Roman" w:hAnsiTheme="majorEastAsia" w:eastAsiaTheme="majorEastAsia"/>
          <w:color w:val="000000"/>
          <w:sz w:val="28"/>
          <w:szCs w:val="28"/>
          <w:u w:color="000000"/>
          <w:lang w:val="zh-TW" w:eastAsia="zh-TW"/>
        </w:rPr>
        <w:t>的金融与风险管理，</w:t>
      </w:r>
      <w:r>
        <w:rPr>
          <w:rFonts w:ascii="Times New Roman" w:hAnsi="Times New Roman" w:cs="Times New Roman" w:eastAsiaTheme="majorEastAsia"/>
          <w:color w:val="000000"/>
          <w:sz w:val="28"/>
          <w:szCs w:val="28"/>
          <w:u w:color="000000"/>
          <w:lang w:val="zh-TW" w:eastAsia="zh-TW"/>
        </w:rPr>
        <w:t>“</w:t>
      </w:r>
      <w:r>
        <w:rPr>
          <w:rFonts w:ascii="Times New Roman" w:cs="Times New Roman" w:hAnsiTheme="majorEastAsia" w:eastAsiaTheme="majorEastAsia"/>
          <w:color w:val="000000"/>
          <w:sz w:val="28"/>
          <w:szCs w:val="28"/>
          <w:u w:color="000000"/>
          <w:lang w:val="zh-TW" w:eastAsia="zh-TW"/>
        </w:rPr>
        <w:t>统计</w:t>
      </w:r>
      <w:r>
        <w:rPr>
          <w:rFonts w:ascii="Times New Roman" w:hAnsi="Times New Roman" w:cs="Times New Roman" w:eastAsiaTheme="majorEastAsia"/>
          <w:color w:val="000000"/>
          <w:sz w:val="28"/>
          <w:szCs w:val="28"/>
          <w:u w:color="000000"/>
          <w:lang w:val="zh-TW" w:eastAsia="zh-TW"/>
        </w:rPr>
        <w:t>+</w:t>
      </w:r>
      <w:r>
        <w:rPr>
          <w:rFonts w:ascii="Times New Roman" w:cs="Times New Roman" w:hAnsiTheme="majorEastAsia" w:eastAsiaTheme="majorEastAsia"/>
          <w:color w:val="000000"/>
          <w:sz w:val="28"/>
          <w:szCs w:val="28"/>
          <w:u w:color="000000"/>
          <w:lang w:val="zh-TW" w:eastAsia="zh-TW"/>
        </w:rPr>
        <w:t>复杂网络数据</w:t>
      </w:r>
      <w:r>
        <w:rPr>
          <w:rFonts w:ascii="Times New Roman" w:hAnsi="Times New Roman" w:cs="Times New Roman" w:eastAsiaTheme="majorEastAsia"/>
          <w:color w:val="000000"/>
          <w:sz w:val="28"/>
          <w:szCs w:val="28"/>
          <w:u w:color="000000"/>
          <w:lang w:val="zh-TW" w:eastAsia="zh-TW"/>
        </w:rPr>
        <w:t>”</w:t>
      </w:r>
      <w:r>
        <w:rPr>
          <w:rFonts w:ascii="Times New Roman" w:cs="Times New Roman" w:hAnsiTheme="majorEastAsia" w:eastAsiaTheme="majorEastAsia"/>
          <w:color w:val="000000"/>
          <w:sz w:val="28"/>
          <w:szCs w:val="28"/>
          <w:u w:color="000000"/>
          <w:lang w:val="zh-TW" w:eastAsia="zh-TW"/>
        </w:rPr>
        <w:t>的人工智能与深度学习，</w:t>
      </w:r>
      <w:r>
        <w:rPr>
          <w:rFonts w:ascii="Times New Roman" w:hAnsi="Times New Roman" w:cs="Times New Roman" w:eastAsiaTheme="majorEastAsia"/>
          <w:color w:val="000000"/>
          <w:sz w:val="28"/>
          <w:szCs w:val="28"/>
          <w:u w:color="000000"/>
          <w:lang w:val="zh-TW" w:eastAsia="zh-TW"/>
        </w:rPr>
        <w:t>“</w:t>
      </w:r>
      <w:r>
        <w:rPr>
          <w:rFonts w:ascii="Times New Roman" w:cs="Times New Roman" w:hAnsiTheme="majorEastAsia" w:eastAsiaTheme="majorEastAsia"/>
          <w:color w:val="000000"/>
          <w:sz w:val="28"/>
          <w:szCs w:val="28"/>
          <w:u w:color="000000"/>
          <w:lang w:val="zh-TW" w:eastAsia="zh-TW"/>
        </w:rPr>
        <w:t>统计</w:t>
      </w:r>
      <w:r>
        <w:rPr>
          <w:rFonts w:ascii="Times New Roman" w:hAnsi="Times New Roman" w:cs="Times New Roman" w:eastAsiaTheme="majorEastAsia"/>
          <w:color w:val="000000"/>
          <w:sz w:val="28"/>
          <w:szCs w:val="28"/>
          <w:u w:color="000000"/>
          <w:lang w:val="zh-TW" w:eastAsia="zh-TW"/>
        </w:rPr>
        <w:t>+</w:t>
      </w:r>
      <w:r>
        <w:rPr>
          <w:rFonts w:ascii="Times New Roman" w:cs="Times New Roman" w:hAnsiTheme="majorEastAsia" w:eastAsiaTheme="majorEastAsia"/>
          <w:color w:val="000000"/>
          <w:sz w:val="28"/>
          <w:szCs w:val="28"/>
          <w:u w:color="000000"/>
          <w:lang w:val="zh-TW" w:eastAsia="zh-TW"/>
        </w:rPr>
        <w:t>环境大数据</w:t>
      </w:r>
      <w:r>
        <w:rPr>
          <w:rFonts w:ascii="Times New Roman" w:hAnsi="Times New Roman" w:cs="Times New Roman" w:eastAsiaTheme="majorEastAsia"/>
          <w:color w:val="000000"/>
          <w:sz w:val="28"/>
          <w:szCs w:val="28"/>
          <w:u w:color="000000"/>
          <w:lang w:val="zh-TW" w:eastAsia="zh-TW"/>
        </w:rPr>
        <w:t>”</w:t>
      </w:r>
      <w:r>
        <w:rPr>
          <w:rFonts w:ascii="Times New Roman" w:cs="Times New Roman" w:hAnsiTheme="majorEastAsia" w:eastAsiaTheme="majorEastAsia"/>
          <w:color w:val="000000"/>
          <w:sz w:val="28"/>
          <w:szCs w:val="28"/>
          <w:u w:color="000000"/>
          <w:lang w:val="zh-TW" w:eastAsia="zh-TW"/>
        </w:rPr>
        <w:t>的数据质量评估与管理等</w:t>
      </w:r>
      <w:r>
        <w:rPr>
          <w:rFonts w:hint="eastAsia" w:ascii="Times New Roman" w:cs="Times New Roman" w:hAnsiTheme="majorEastAsia" w:eastAsiaTheme="majorEastAsia"/>
          <w:color w:val="000000"/>
          <w:sz w:val="28"/>
          <w:szCs w:val="28"/>
          <w:u w:color="000000"/>
          <w:lang w:val="en-US" w:eastAsia="zh-CN"/>
        </w:rPr>
        <w:t>多</w:t>
      </w:r>
      <w:r>
        <w:rPr>
          <w:rFonts w:ascii="Times New Roman" w:cs="Times New Roman" w:hAnsiTheme="majorEastAsia" w:eastAsiaTheme="majorEastAsia"/>
          <w:color w:val="000000"/>
          <w:sz w:val="28"/>
          <w:szCs w:val="28"/>
          <w:u w:color="000000"/>
          <w:lang w:val="zh-TW" w:eastAsia="zh-TW"/>
        </w:rPr>
        <w:t>个特色培养方向。所培养的研究生能适应大数据时代对统计学的挑战，能熟练地运用统计方法分析数据和解决实际统计应用问题，具有运用专业知识与有关专业人员合作解决某些实际应用问题的能力。同时，所培养</w:t>
      </w:r>
      <w:r>
        <w:rPr>
          <w:rFonts w:hint="eastAsia" w:ascii="Times New Roman" w:cs="Times New Roman" w:hAnsiTheme="majorEastAsia" w:eastAsiaTheme="majorEastAsia"/>
          <w:color w:val="000000"/>
          <w:sz w:val="28"/>
          <w:szCs w:val="28"/>
          <w:u w:color="000000"/>
          <w:lang w:val="en-US" w:eastAsia="zh-CN"/>
        </w:rPr>
        <w:t>的</w:t>
      </w:r>
      <w:r>
        <w:rPr>
          <w:rFonts w:ascii="Times New Roman" w:cs="Times New Roman" w:hAnsiTheme="majorEastAsia" w:eastAsiaTheme="majorEastAsia"/>
          <w:color w:val="000000"/>
          <w:sz w:val="28"/>
          <w:szCs w:val="28"/>
          <w:u w:color="000000"/>
          <w:lang w:val="zh-TW" w:eastAsia="zh-TW"/>
        </w:rPr>
        <w:t>研究生熟练掌握英语，能及时了解国外应用统计前沿动态，适应行业国际化需求。毕业的研究生能够胜任用人单位数据分析、统计建模、推断和预测等实际应用工作。</w:t>
      </w:r>
    </w:p>
    <w:p>
      <w:pPr>
        <w:pStyle w:val="2"/>
        <w:numPr>
          <w:ilvl w:val="0"/>
          <w:numId w:val="1"/>
        </w:numPr>
        <w:spacing w:line="360" w:lineRule="auto"/>
        <w:ind w:left="640" w:firstLine="0" w:firstLineChars="0"/>
        <w:rPr>
          <w:rFonts w:ascii="Times New Roman" w:hAnsi="Times New Roman" w:cs="Times New Roman" w:eastAsiaTheme="majorEastAsia"/>
          <w:b/>
          <w:bCs/>
          <w:sz w:val="28"/>
          <w:szCs w:val="28"/>
          <w:lang w:val="zh-TW" w:eastAsia="zh-TW"/>
        </w:rPr>
      </w:pPr>
      <w:r>
        <w:rPr>
          <w:rFonts w:ascii="Times New Roman" w:cs="Times New Roman" w:hAnsiTheme="majorEastAsia" w:eastAsiaTheme="majorEastAsia"/>
          <w:b/>
          <w:bCs/>
          <w:sz w:val="28"/>
          <w:szCs w:val="28"/>
          <w:u w:color="000000"/>
          <w:lang w:val="zh-TW" w:eastAsia="zh-TW"/>
        </w:rPr>
        <w:t>研究生基本情况</w:t>
      </w:r>
    </w:p>
    <w:p>
      <w:pPr>
        <w:pStyle w:val="2"/>
        <w:spacing w:line="560" w:lineRule="exact"/>
        <w:ind w:firstLine="560"/>
        <w:rPr>
          <w:rFonts w:ascii="Times New Roman" w:hAnsi="Times New Roman" w:cs="Times New Roman" w:eastAsiaTheme="majorEastAsia"/>
          <w:sz w:val="28"/>
          <w:szCs w:val="28"/>
        </w:rPr>
      </w:pPr>
      <w:r>
        <w:rPr>
          <w:rFonts w:ascii="Times New Roman" w:hAnsi="Times New Roman" w:cs="Times New Roman" w:eastAsiaTheme="majorEastAsia"/>
          <w:sz w:val="28"/>
          <w:szCs w:val="28"/>
        </w:rPr>
        <w:t>2020</w:t>
      </w:r>
      <w:r>
        <w:rPr>
          <w:rFonts w:ascii="Times New Roman" w:cs="Times New Roman" w:hAnsiTheme="majorEastAsia" w:eastAsiaTheme="majorEastAsia"/>
          <w:sz w:val="28"/>
          <w:szCs w:val="28"/>
        </w:rPr>
        <w:t>年，本学位授权点共招收硕士研究生</w:t>
      </w:r>
      <w:r>
        <w:rPr>
          <w:rFonts w:ascii="Times New Roman" w:hAnsi="Times New Roman" w:cs="Times New Roman" w:eastAsiaTheme="majorEastAsia"/>
          <w:sz w:val="28"/>
          <w:szCs w:val="28"/>
        </w:rPr>
        <w:t>73</w:t>
      </w:r>
      <w:r>
        <w:rPr>
          <w:rFonts w:ascii="Times New Roman" w:cs="Times New Roman" w:hAnsiTheme="majorEastAsia" w:eastAsiaTheme="majorEastAsia"/>
          <w:sz w:val="28"/>
          <w:szCs w:val="28"/>
        </w:rPr>
        <w:t>人，截止</w:t>
      </w:r>
      <w:r>
        <w:rPr>
          <w:rFonts w:ascii="Times New Roman" w:hAnsi="Times New Roman" w:cs="Times New Roman" w:eastAsiaTheme="majorEastAsia"/>
          <w:sz w:val="28"/>
          <w:szCs w:val="28"/>
        </w:rPr>
        <w:t>2020</w:t>
      </w:r>
      <w:r>
        <w:rPr>
          <w:rFonts w:ascii="Times New Roman" w:cs="Times New Roman" w:hAnsiTheme="majorEastAsia" w:eastAsiaTheme="majorEastAsia"/>
          <w:sz w:val="28"/>
          <w:szCs w:val="28"/>
        </w:rPr>
        <w:t>年底，本学位授权点在读硕士研究生</w:t>
      </w:r>
      <w:r>
        <w:rPr>
          <w:rFonts w:ascii="Times New Roman" w:hAnsi="Times New Roman" w:cs="Times New Roman" w:eastAsiaTheme="majorEastAsia"/>
          <w:sz w:val="28"/>
          <w:szCs w:val="28"/>
        </w:rPr>
        <w:t>206</w:t>
      </w:r>
      <w:r>
        <w:rPr>
          <w:rFonts w:ascii="Times New Roman" w:cs="Times New Roman" w:hAnsiTheme="majorEastAsia" w:eastAsiaTheme="majorEastAsia"/>
          <w:sz w:val="28"/>
          <w:szCs w:val="28"/>
        </w:rPr>
        <w:t>人。</w:t>
      </w:r>
    </w:p>
    <w:p>
      <w:pPr>
        <w:ind w:firstLine="480" w:firstLineChars="200"/>
        <w:jc w:val="center"/>
        <w:rPr>
          <w:rFonts w:ascii="Times New Roman" w:hAnsi="Times New Roman" w:cs="Times New Roman" w:eastAsiaTheme="majorEastAsia"/>
          <w:sz w:val="24"/>
        </w:rPr>
      </w:pPr>
      <w:r>
        <w:rPr>
          <w:rFonts w:ascii="Times New Roman" w:cs="Times New Roman" w:hAnsiTheme="majorEastAsia" w:eastAsiaTheme="majorEastAsia"/>
          <w:sz w:val="24"/>
        </w:rPr>
        <w:t>表</w:t>
      </w:r>
      <w:r>
        <w:rPr>
          <w:rFonts w:ascii="Times New Roman" w:hAnsi="Times New Roman" w:cs="Times New Roman" w:eastAsiaTheme="majorEastAsia"/>
          <w:sz w:val="24"/>
        </w:rPr>
        <w:t>1. 2020</w:t>
      </w:r>
      <w:r>
        <w:rPr>
          <w:rFonts w:ascii="Times New Roman" w:cs="Times New Roman" w:hAnsiTheme="majorEastAsia" w:eastAsiaTheme="majorEastAsia"/>
          <w:sz w:val="24"/>
        </w:rPr>
        <w:t>年度研究生人数统计表</w:t>
      </w:r>
    </w:p>
    <w:tbl>
      <w:tblPr>
        <w:tblStyle w:val="7"/>
        <w:tblW w:w="8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025"/>
        <w:gridCol w:w="238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spacing w:line="360" w:lineRule="auto"/>
              <w:jc w:val="center"/>
              <w:rPr>
                <w:rFonts w:ascii="Times New Roman" w:hAnsi="Times New Roman" w:cs="Times New Roman" w:eastAsiaTheme="majorEastAsia"/>
                <w:kern w:val="0"/>
                <w:sz w:val="24"/>
              </w:rPr>
            </w:pPr>
            <w:r>
              <w:rPr>
                <w:rFonts w:ascii="Times New Roman" w:cs="Times New Roman" w:hAnsiTheme="majorEastAsia" w:eastAsiaTheme="majorEastAsia"/>
                <w:kern w:val="0"/>
                <w:sz w:val="24"/>
              </w:rPr>
              <w:t>年级</w:t>
            </w:r>
          </w:p>
        </w:tc>
        <w:tc>
          <w:tcPr>
            <w:tcW w:w="2025" w:type="dxa"/>
          </w:tcPr>
          <w:p>
            <w:pPr>
              <w:widowControl/>
              <w:spacing w:line="360" w:lineRule="auto"/>
              <w:jc w:val="center"/>
              <w:rPr>
                <w:rFonts w:ascii="Times New Roman" w:hAnsi="Times New Roman" w:cs="Times New Roman" w:eastAsiaTheme="majorEastAsia"/>
                <w:kern w:val="0"/>
                <w:sz w:val="24"/>
              </w:rPr>
            </w:pPr>
            <w:r>
              <w:rPr>
                <w:rFonts w:ascii="Times New Roman" w:cs="Times New Roman" w:hAnsiTheme="majorEastAsia" w:eastAsiaTheme="majorEastAsia"/>
                <w:kern w:val="0"/>
                <w:sz w:val="24"/>
              </w:rPr>
              <w:t>博士</w:t>
            </w:r>
          </w:p>
        </w:tc>
        <w:tc>
          <w:tcPr>
            <w:tcW w:w="2385" w:type="dxa"/>
          </w:tcPr>
          <w:p>
            <w:pPr>
              <w:widowControl/>
              <w:spacing w:line="360" w:lineRule="auto"/>
              <w:jc w:val="center"/>
              <w:rPr>
                <w:rFonts w:ascii="Times New Roman" w:hAnsi="Times New Roman" w:cs="Times New Roman" w:eastAsiaTheme="majorEastAsia"/>
                <w:kern w:val="0"/>
                <w:sz w:val="24"/>
              </w:rPr>
            </w:pPr>
            <w:r>
              <w:rPr>
                <w:rFonts w:ascii="Times New Roman" w:cs="Times New Roman" w:hAnsiTheme="majorEastAsia" w:eastAsiaTheme="majorEastAsia"/>
                <w:kern w:val="0"/>
                <w:sz w:val="24"/>
              </w:rPr>
              <w:t>硕士</w:t>
            </w:r>
          </w:p>
        </w:tc>
        <w:tc>
          <w:tcPr>
            <w:tcW w:w="2025" w:type="dxa"/>
          </w:tcPr>
          <w:p>
            <w:pPr>
              <w:widowControl/>
              <w:spacing w:line="360" w:lineRule="auto"/>
              <w:jc w:val="center"/>
              <w:rPr>
                <w:rFonts w:ascii="Times New Roman" w:hAnsi="Times New Roman" w:cs="Times New Roman" w:eastAsiaTheme="majorEastAsia"/>
                <w:kern w:val="0"/>
                <w:sz w:val="24"/>
              </w:rPr>
            </w:pPr>
            <w:r>
              <w:rPr>
                <w:rFonts w:ascii="Times New Roman" w:cs="Times New Roman" w:hAnsiTheme="majorEastAsia" w:eastAsiaTheme="majorEastAsia"/>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spacing w:line="360" w:lineRule="auto"/>
              <w:jc w:val="center"/>
              <w:rPr>
                <w:rFonts w:ascii="Times New Roman" w:hAnsi="Times New Roman" w:cs="Times New Roman" w:eastAsiaTheme="majorEastAsia"/>
                <w:kern w:val="0"/>
                <w:sz w:val="24"/>
              </w:rPr>
            </w:pPr>
            <w:r>
              <w:rPr>
                <w:rFonts w:ascii="Times New Roman" w:hAnsi="Times New Roman" w:cs="Times New Roman" w:eastAsiaTheme="majorEastAsia"/>
                <w:kern w:val="0"/>
                <w:sz w:val="24"/>
              </w:rPr>
              <w:t>2017</w:t>
            </w:r>
            <w:r>
              <w:rPr>
                <w:rFonts w:ascii="Times New Roman" w:cs="Times New Roman" w:hAnsiTheme="majorEastAsia" w:eastAsiaTheme="majorEastAsia"/>
                <w:kern w:val="0"/>
                <w:sz w:val="24"/>
              </w:rPr>
              <w:t>级</w:t>
            </w:r>
          </w:p>
        </w:tc>
        <w:tc>
          <w:tcPr>
            <w:tcW w:w="2025" w:type="dxa"/>
          </w:tcPr>
          <w:p>
            <w:pPr>
              <w:widowControl/>
              <w:spacing w:line="360" w:lineRule="auto"/>
              <w:jc w:val="center"/>
              <w:rPr>
                <w:rFonts w:ascii="Times New Roman" w:hAnsi="Times New Roman" w:cs="Times New Roman" w:eastAsiaTheme="majorEastAsia"/>
                <w:kern w:val="0"/>
                <w:sz w:val="24"/>
              </w:rPr>
            </w:pPr>
            <w:r>
              <w:rPr>
                <w:rFonts w:ascii="Times New Roman" w:hAnsi="Times New Roman" w:cs="Times New Roman" w:eastAsiaTheme="majorEastAsia"/>
                <w:kern w:val="0"/>
                <w:sz w:val="24"/>
              </w:rPr>
              <w:t>0</w:t>
            </w:r>
          </w:p>
        </w:tc>
        <w:tc>
          <w:tcPr>
            <w:tcW w:w="2385" w:type="dxa"/>
          </w:tcPr>
          <w:p>
            <w:pPr>
              <w:widowControl/>
              <w:spacing w:line="360" w:lineRule="auto"/>
              <w:jc w:val="center"/>
              <w:rPr>
                <w:rFonts w:ascii="Times New Roman" w:hAnsi="Times New Roman" w:cs="Times New Roman" w:eastAsiaTheme="majorEastAsia"/>
                <w:kern w:val="0"/>
                <w:sz w:val="24"/>
              </w:rPr>
            </w:pPr>
            <w:r>
              <w:rPr>
                <w:rFonts w:ascii="Times New Roman" w:hAnsi="Times New Roman" w:cs="Times New Roman" w:eastAsiaTheme="majorEastAsia"/>
                <w:kern w:val="0"/>
                <w:sz w:val="24"/>
              </w:rPr>
              <w:t>48</w:t>
            </w:r>
          </w:p>
        </w:tc>
        <w:tc>
          <w:tcPr>
            <w:tcW w:w="2025" w:type="dxa"/>
          </w:tcPr>
          <w:p>
            <w:pPr>
              <w:widowControl/>
              <w:spacing w:line="360" w:lineRule="auto"/>
              <w:jc w:val="center"/>
              <w:rPr>
                <w:rFonts w:ascii="Times New Roman" w:hAnsi="Times New Roman" w:cs="Times New Roman" w:eastAsiaTheme="majorEastAsia"/>
                <w:kern w:val="0"/>
                <w:sz w:val="24"/>
              </w:rPr>
            </w:pPr>
            <w:r>
              <w:rPr>
                <w:rFonts w:ascii="Times New Roman" w:hAnsi="Times New Roman" w:cs="Times New Roman" w:eastAsiaTheme="majorEastAsia"/>
                <w:kern w:val="0"/>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spacing w:line="360" w:lineRule="auto"/>
              <w:jc w:val="center"/>
              <w:rPr>
                <w:rFonts w:ascii="Times New Roman" w:hAnsi="Times New Roman" w:cs="Times New Roman" w:eastAsiaTheme="majorEastAsia"/>
                <w:kern w:val="0"/>
                <w:sz w:val="24"/>
              </w:rPr>
            </w:pPr>
            <w:r>
              <w:rPr>
                <w:rFonts w:ascii="Times New Roman" w:hAnsi="Times New Roman" w:cs="Times New Roman" w:eastAsiaTheme="majorEastAsia"/>
                <w:kern w:val="0"/>
                <w:sz w:val="24"/>
              </w:rPr>
              <w:t>2018</w:t>
            </w:r>
            <w:r>
              <w:rPr>
                <w:rFonts w:ascii="Times New Roman" w:cs="Times New Roman" w:hAnsiTheme="majorEastAsia" w:eastAsiaTheme="majorEastAsia"/>
                <w:kern w:val="0"/>
                <w:sz w:val="24"/>
              </w:rPr>
              <w:t>级</w:t>
            </w:r>
          </w:p>
        </w:tc>
        <w:tc>
          <w:tcPr>
            <w:tcW w:w="2025" w:type="dxa"/>
          </w:tcPr>
          <w:p>
            <w:pPr>
              <w:widowControl/>
              <w:spacing w:line="360" w:lineRule="auto"/>
              <w:jc w:val="center"/>
              <w:rPr>
                <w:rFonts w:ascii="Times New Roman" w:hAnsi="Times New Roman" w:cs="Times New Roman" w:eastAsiaTheme="majorEastAsia"/>
                <w:kern w:val="0"/>
                <w:sz w:val="24"/>
              </w:rPr>
            </w:pPr>
            <w:r>
              <w:rPr>
                <w:rFonts w:ascii="Times New Roman" w:hAnsi="Times New Roman" w:cs="Times New Roman" w:eastAsiaTheme="majorEastAsia"/>
                <w:kern w:val="0"/>
                <w:sz w:val="24"/>
              </w:rPr>
              <w:t>0</w:t>
            </w:r>
          </w:p>
        </w:tc>
        <w:tc>
          <w:tcPr>
            <w:tcW w:w="2385" w:type="dxa"/>
          </w:tcPr>
          <w:p>
            <w:pPr>
              <w:widowControl/>
              <w:spacing w:line="360" w:lineRule="auto"/>
              <w:jc w:val="center"/>
              <w:rPr>
                <w:rFonts w:ascii="Times New Roman" w:hAnsi="Times New Roman" w:cs="Times New Roman" w:eastAsiaTheme="majorEastAsia"/>
                <w:kern w:val="0"/>
                <w:sz w:val="24"/>
              </w:rPr>
            </w:pPr>
            <w:r>
              <w:rPr>
                <w:rFonts w:ascii="Times New Roman" w:hAnsi="Times New Roman" w:cs="Times New Roman" w:eastAsiaTheme="majorEastAsia"/>
                <w:kern w:val="0"/>
                <w:sz w:val="24"/>
              </w:rPr>
              <w:t>65</w:t>
            </w:r>
          </w:p>
        </w:tc>
        <w:tc>
          <w:tcPr>
            <w:tcW w:w="2025" w:type="dxa"/>
          </w:tcPr>
          <w:p>
            <w:pPr>
              <w:widowControl/>
              <w:spacing w:line="360" w:lineRule="auto"/>
              <w:jc w:val="center"/>
              <w:rPr>
                <w:rFonts w:ascii="Times New Roman" w:hAnsi="Times New Roman" w:cs="Times New Roman" w:eastAsiaTheme="majorEastAsia"/>
                <w:kern w:val="0"/>
                <w:sz w:val="24"/>
              </w:rPr>
            </w:pPr>
            <w:r>
              <w:rPr>
                <w:rFonts w:ascii="Times New Roman" w:hAnsi="Times New Roman" w:cs="Times New Roman" w:eastAsiaTheme="majorEastAsia"/>
                <w:kern w:val="0"/>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spacing w:line="360" w:lineRule="auto"/>
              <w:jc w:val="center"/>
              <w:rPr>
                <w:rFonts w:ascii="Times New Roman" w:hAnsi="Times New Roman" w:cs="Times New Roman" w:eastAsiaTheme="majorEastAsia"/>
                <w:kern w:val="0"/>
                <w:sz w:val="24"/>
              </w:rPr>
            </w:pPr>
            <w:r>
              <w:rPr>
                <w:rFonts w:ascii="Times New Roman" w:hAnsi="Times New Roman" w:cs="Times New Roman" w:eastAsiaTheme="majorEastAsia"/>
                <w:kern w:val="0"/>
                <w:sz w:val="24"/>
              </w:rPr>
              <w:t>2019</w:t>
            </w:r>
            <w:r>
              <w:rPr>
                <w:rFonts w:ascii="Times New Roman" w:cs="Times New Roman" w:hAnsiTheme="majorEastAsia" w:eastAsiaTheme="majorEastAsia"/>
                <w:kern w:val="0"/>
                <w:sz w:val="24"/>
              </w:rPr>
              <w:t>级</w:t>
            </w:r>
          </w:p>
        </w:tc>
        <w:tc>
          <w:tcPr>
            <w:tcW w:w="2025" w:type="dxa"/>
          </w:tcPr>
          <w:p>
            <w:pPr>
              <w:widowControl/>
              <w:spacing w:line="360" w:lineRule="auto"/>
              <w:jc w:val="center"/>
              <w:rPr>
                <w:rFonts w:ascii="Times New Roman" w:hAnsi="Times New Roman" w:cs="Times New Roman" w:eastAsiaTheme="majorEastAsia"/>
                <w:kern w:val="0"/>
                <w:sz w:val="24"/>
              </w:rPr>
            </w:pPr>
            <w:r>
              <w:rPr>
                <w:rFonts w:ascii="Times New Roman" w:hAnsi="Times New Roman" w:cs="Times New Roman" w:eastAsiaTheme="majorEastAsia"/>
                <w:kern w:val="0"/>
                <w:sz w:val="24"/>
              </w:rPr>
              <w:t>0</w:t>
            </w:r>
          </w:p>
        </w:tc>
        <w:tc>
          <w:tcPr>
            <w:tcW w:w="2385" w:type="dxa"/>
          </w:tcPr>
          <w:p>
            <w:pPr>
              <w:widowControl/>
              <w:spacing w:line="360" w:lineRule="auto"/>
              <w:jc w:val="center"/>
              <w:rPr>
                <w:rFonts w:ascii="Times New Roman" w:hAnsi="Times New Roman" w:cs="Times New Roman" w:eastAsiaTheme="majorEastAsia"/>
                <w:kern w:val="0"/>
                <w:sz w:val="24"/>
              </w:rPr>
            </w:pPr>
            <w:r>
              <w:rPr>
                <w:rFonts w:ascii="Times New Roman" w:hAnsi="Times New Roman" w:cs="Times New Roman" w:eastAsiaTheme="majorEastAsia"/>
                <w:kern w:val="0"/>
                <w:sz w:val="24"/>
              </w:rPr>
              <w:t>67</w:t>
            </w:r>
          </w:p>
        </w:tc>
        <w:tc>
          <w:tcPr>
            <w:tcW w:w="2025" w:type="dxa"/>
          </w:tcPr>
          <w:p>
            <w:pPr>
              <w:widowControl/>
              <w:spacing w:line="360" w:lineRule="auto"/>
              <w:jc w:val="center"/>
              <w:rPr>
                <w:rFonts w:ascii="Times New Roman" w:hAnsi="Times New Roman" w:cs="Times New Roman" w:eastAsiaTheme="majorEastAsia"/>
                <w:kern w:val="0"/>
                <w:sz w:val="24"/>
              </w:rPr>
            </w:pPr>
            <w:r>
              <w:rPr>
                <w:rFonts w:ascii="Times New Roman" w:hAnsi="Times New Roman" w:cs="Times New Roman" w:eastAsiaTheme="majorEastAsia"/>
                <w:kern w:val="0"/>
                <w:sz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spacing w:line="360" w:lineRule="auto"/>
              <w:jc w:val="center"/>
              <w:rPr>
                <w:rFonts w:ascii="Times New Roman" w:hAnsi="Times New Roman" w:cs="Times New Roman" w:eastAsiaTheme="majorEastAsia"/>
                <w:kern w:val="0"/>
                <w:sz w:val="24"/>
              </w:rPr>
            </w:pPr>
            <w:r>
              <w:rPr>
                <w:rFonts w:ascii="Times New Roman" w:hAnsi="Times New Roman" w:cs="Times New Roman" w:eastAsiaTheme="majorEastAsia"/>
                <w:kern w:val="0"/>
                <w:sz w:val="24"/>
              </w:rPr>
              <w:t>2020</w:t>
            </w:r>
            <w:r>
              <w:rPr>
                <w:rFonts w:ascii="Times New Roman" w:cs="Times New Roman" w:hAnsiTheme="majorEastAsia" w:eastAsiaTheme="majorEastAsia"/>
                <w:kern w:val="0"/>
                <w:sz w:val="24"/>
              </w:rPr>
              <w:t>级</w:t>
            </w:r>
          </w:p>
        </w:tc>
        <w:tc>
          <w:tcPr>
            <w:tcW w:w="2025" w:type="dxa"/>
          </w:tcPr>
          <w:p>
            <w:pPr>
              <w:widowControl/>
              <w:spacing w:line="360" w:lineRule="auto"/>
              <w:jc w:val="center"/>
              <w:rPr>
                <w:rFonts w:ascii="Times New Roman" w:hAnsi="Times New Roman" w:cs="Times New Roman" w:eastAsiaTheme="majorEastAsia"/>
                <w:kern w:val="0"/>
                <w:sz w:val="24"/>
              </w:rPr>
            </w:pPr>
            <w:r>
              <w:rPr>
                <w:rFonts w:ascii="Times New Roman" w:hAnsi="Times New Roman" w:cs="Times New Roman" w:eastAsiaTheme="majorEastAsia"/>
                <w:kern w:val="0"/>
                <w:sz w:val="24"/>
              </w:rPr>
              <w:t>0</w:t>
            </w:r>
          </w:p>
        </w:tc>
        <w:tc>
          <w:tcPr>
            <w:tcW w:w="2385" w:type="dxa"/>
          </w:tcPr>
          <w:p>
            <w:pPr>
              <w:widowControl/>
              <w:spacing w:line="360" w:lineRule="auto"/>
              <w:jc w:val="center"/>
              <w:rPr>
                <w:rFonts w:ascii="Times New Roman" w:hAnsi="Times New Roman" w:cs="Times New Roman" w:eastAsiaTheme="majorEastAsia"/>
                <w:kern w:val="0"/>
                <w:sz w:val="24"/>
              </w:rPr>
            </w:pPr>
            <w:r>
              <w:rPr>
                <w:rFonts w:ascii="Times New Roman" w:hAnsi="Times New Roman" w:cs="Times New Roman" w:eastAsiaTheme="majorEastAsia"/>
                <w:kern w:val="0"/>
                <w:sz w:val="24"/>
              </w:rPr>
              <w:t>73</w:t>
            </w:r>
          </w:p>
        </w:tc>
        <w:tc>
          <w:tcPr>
            <w:tcW w:w="2025" w:type="dxa"/>
          </w:tcPr>
          <w:p>
            <w:pPr>
              <w:widowControl/>
              <w:spacing w:line="360" w:lineRule="auto"/>
              <w:jc w:val="center"/>
              <w:rPr>
                <w:rFonts w:ascii="Times New Roman" w:hAnsi="Times New Roman" w:cs="Times New Roman" w:eastAsiaTheme="majorEastAsia"/>
                <w:kern w:val="0"/>
                <w:sz w:val="24"/>
              </w:rPr>
            </w:pPr>
            <w:r>
              <w:rPr>
                <w:rFonts w:ascii="Times New Roman" w:hAnsi="Times New Roman" w:cs="Times New Roman" w:eastAsiaTheme="majorEastAsia"/>
                <w:kern w:val="0"/>
                <w:sz w:val="24"/>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spacing w:line="360" w:lineRule="auto"/>
              <w:jc w:val="center"/>
              <w:rPr>
                <w:rFonts w:ascii="Times New Roman" w:hAnsi="Times New Roman" w:cs="Times New Roman" w:eastAsiaTheme="majorEastAsia"/>
                <w:kern w:val="0"/>
                <w:sz w:val="24"/>
              </w:rPr>
            </w:pPr>
            <w:r>
              <w:rPr>
                <w:rFonts w:ascii="Times New Roman" w:cs="Times New Roman" w:hAnsiTheme="majorEastAsia" w:eastAsiaTheme="majorEastAsia"/>
                <w:kern w:val="0"/>
                <w:sz w:val="24"/>
              </w:rPr>
              <w:t>合计</w:t>
            </w:r>
          </w:p>
        </w:tc>
        <w:tc>
          <w:tcPr>
            <w:tcW w:w="2025" w:type="dxa"/>
          </w:tcPr>
          <w:p>
            <w:pPr>
              <w:widowControl/>
              <w:spacing w:line="360" w:lineRule="auto"/>
              <w:jc w:val="center"/>
              <w:rPr>
                <w:rFonts w:ascii="Times New Roman" w:hAnsi="Times New Roman" w:cs="Times New Roman" w:eastAsiaTheme="majorEastAsia"/>
                <w:kern w:val="0"/>
                <w:sz w:val="24"/>
              </w:rPr>
            </w:pPr>
            <w:r>
              <w:rPr>
                <w:rFonts w:ascii="Times New Roman" w:hAnsi="Times New Roman" w:cs="Times New Roman" w:eastAsiaTheme="majorEastAsia"/>
                <w:kern w:val="0"/>
                <w:sz w:val="24"/>
              </w:rPr>
              <w:t>0</w:t>
            </w:r>
          </w:p>
        </w:tc>
        <w:tc>
          <w:tcPr>
            <w:tcW w:w="2385" w:type="dxa"/>
          </w:tcPr>
          <w:p>
            <w:pPr>
              <w:widowControl/>
              <w:spacing w:line="360" w:lineRule="auto"/>
              <w:jc w:val="center"/>
              <w:rPr>
                <w:rFonts w:ascii="Times New Roman" w:hAnsi="Times New Roman" w:cs="Times New Roman" w:eastAsiaTheme="majorEastAsia"/>
                <w:kern w:val="0"/>
                <w:sz w:val="24"/>
              </w:rPr>
            </w:pPr>
            <w:r>
              <w:rPr>
                <w:rFonts w:ascii="Times New Roman" w:hAnsi="Times New Roman" w:cs="Times New Roman" w:eastAsiaTheme="majorEastAsia"/>
                <w:kern w:val="0"/>
                <w:sz w:val="24"/>
              </w:rPr>
              <w:t>206</w:t>
            </w:r>
          </w:p>
        </w:tc>
        <w:tc>
          <w:tcPr>
            <w:tcW w:w="2025" w:type="dxa"/>
          </w:tcPr>
          <w:p>
            <w:pPr>
              <w:widowControl/>
              <w:spacing w:line="360" w:lineRule="auto"/>
              <w:jc w:val="center"/>
              <w:rPr>
                <w:rFonts w:ascii="Times New Roman" w:hAnsi="Times New Roman" w:cs="Times New Roman" w:eastAsiaTheme="majorEastAsia"/>
                <w:kern w:val="0"/>
                <w:sz w:val="24"/>
              </w:rPr>
            </w:pPr>
            <w:r>
              <w:rPr>
                <w:rFonts w:ascii="Times New Roman" w:hAnsi="Times New Roman" w:cs="Times New Roman" w:eastAsiaTheme="majorEastAsia"/>
                <w:kern w:val="0"/>
                <w:sz w:val="24"/>
              </w:rPr>
              <w:t>206</w:t>
            </w:r>
          </w:p>
        </w:tc>
      </w:tr>
    </w:tbl>
    <w:p>
      <w:pPr>
        <w:rPr>
          <w:rFonts w:ascii="Times New Roman" w:hAnsi="Times New Roman" w:cs="Times New Roman" w:eastAsiaTheme="majorEastAsia"/>
        </w:rPr>
      </w:pPr>
      <w:r>
        <w:rPr>
          <w:rFonts w:ascii="Times New Roman" w:hAnsi="Times New Roman" w:cs="Times New Roman" w:eastAsiaTheme="majorEastAsia"/>
          <w:sz w:val="28"/>
          <w:szCs w:val="28"/>
        </w:rPr>
        <w:t>2020</w:t>
      </w:r>
      <w:r>
        <w:rPr>
          <w:rFonts w:ascii="Times New Roman" w:cs="Times New Roman" w:hAnsiTheme="majorEastAsia" w:eastAsiaTheme="majorEastAsia"/>
          <w:sz w:val="28"/>
          <w:szCs w:val="28"/>
        </w:rPr>
        <w:t>年，本学位授权点共毕业硕士研究生</w:t>
      </w:r>
      <w:r>
        <w:rPr>
          <w:rFonts w:ascii="Times New Roman" w:hAnsi="Times New Roman" w:cs="Times New Roman" w:eastAsiaTheme="majorEastAsia"/>
          <w:sz w:val="28"/>
          <w:szCs w:val="28"/>
        </w:rPr>
        <w:t>48</w:t>
      </w:r>
      <w:r>
        <w:rPr>
          <w:rFonts w:ascii="Times New Roman" w:cs="Times New Roman" w:hAnsiTheme="majorEastAsia" w:eastAsiaTheme="majorEastAsia"/>
          <w:sz w:val="28"/>
          <w:szCs w:val="28"/>
        </w:rPr>
        <w:t>人，授予硕士研究生学位</w:t>
      </w:r>
      <w:r>
        <w:rPr>
          <w:rFonts w:ascii="Times New Roman" w:hAnsi="Times New Roman" w:cs="Times New Roman" w:eastAsiaTheme="majorEastAsia"/>
          <w:sz w:val="28"/>
          <w:szCs w:val="28"/>
        </w:rPr>
        <w:t>48</w:t>
      </w:r>
      <w:r>
        <w:rPr>
          <w:rFonts w:ascii="Times New Roman" w:cs="Times New Roman" w:hAnsiTheme="majorEastAsia" w:eastAsiaTheme="majorEastAsia"/>
          <w:sz w:val="28"/>
          <w:szCs w:val="28"/>
        </w:rPr>
        <w:t>人。就业率为</w:t>
      </w:r>
      <w:r>
        <w:rPr>
          <w:rFonts w:ascii="Times New Roman" w:hAnsi="Times New Roman" w:cs="Times New Roman" w:eastAsiaTheme="majorEastAsia"/>
          <w:sz w:val="28"/>
          <w:szCs w:val="28"/>
        </w:rPr>
        <w:t xml:space="preserve"> 100%</w:t>
      </w:r>
      <w:r>
        <w:rPr>
          <w:rFonts w:ascii="Times New Roman" w:cs="Times New Roman" w:hAnsiTheme="majorEastAsia" w:eastAsiaTheme="majorEastAsia"/>
          <w:sz w:val="28"/>
          <w:szCs w:val="28"/>
        </w:rPr>
        <w:t>，毕业学生一部分继续深造，在国内外攻读博士学位，其他人就业去向以</w:t>
      </w:r>
      <w:r>
        <w:rPr>
          <w:rFonts w:ascii="Times New Roman" w:hAnsi="Times New Roman" w:cs="Times New Roman" w:eastAsiaTheme="majorEastAsia"/>
          <w:sz w:val="28"/>
          <w:szCs w:val="28"/>
        </w:rPr>
        <w:t>IT</w:t>
      </w:r>
      <w:r>
        <w:rPr>
          <w:rFonts w:ascii="Times New Roman" w:cs="Times New Roman" w:hAnsiTheme="majorEastAsia" w:eastAsiaTheme="majorEastAsia"/>
          <w:sz w:val="28"/>
          <w:szCs w:val="28"/>
        </w:rPr>
        <w:t>、电子、电商、科技、通信、银行、证券、保险、资产管理和教育、培训行业为主。</w:t>
      </w:r>
    </w:p>
    <w:p>
      <w:pPr>
        <w:pStyle w:val="2"/>
        <w:numPr>
          <w:ilvl w:val="0"/>
          <w:numId w:val="2"/>
        </w:numPr>
        <w:spacing w:line="560" w:lineRule="exact"/>
        <w:ind w:firstLine="562"/>
        <w:rPr>
          <w:rStyle w:val="9"/>
          <w:rFonts w:ascii="Times New Roman" w:hAnsi="Times New Roman" w:cs="Times New Roman" w:eastAsiaTheme="majorEastAsia"/>
          <w:b/>
          <w:color w:val="auto"/>
          <w:sz w:val="28"/>
          <w:szCs w:val="28"/>
        </w:rPr>
      </w:pPr>
      <w:r>
        <w:rPr>
          <w:rStyle w:val="9"/>
          <w:rFonts w:ascii="Times New Roman" w:cs="Times New Roman" w:hAnsiTheme="majorEastAsia" w:eastAsiaTheme="majorEastAsia"/>
          <w:b/>
          <w:color w:val="auto"/>
          <w:sz w:val="28"/>
          <w:szCs w:val="28"/>
        </w:rPr>
        <w:t>研究生导师状况</w:t>
      </w:r>
    </w:p>
    <w:p>
      <w:pPr>
        <w:rPr>
          <w:rFonts w:ascii="Times New Roman" w:hAnsi="Times New Roman" w:cs="Times New Roman" w:eastAsiaTheme="majorEastAsia"/>
        </w:rPr>
      </w:pP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707"/>
        <w:gridCol w:w="1139"/>
        <w:gridCol w:w="158"/>
        <w:gridCol w:w="1134"/>
        <w:gridCol w:w="986"/>
        <w:gridCol w:w="6"/>
        <w:gridCol w:w="1134"/>
        <w:gridCol w:w="982"/>
        <w:gridCol w:w="85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2" w:type="dxa"/>
            <w:gridSpan w:val="11"/>
            <w:tcBorders>
              <w:top w:val="single" w:color="auto" w:sz="12" w:space="0"/>
              <w:left w:val="single" w:color="auto" w:sz="12" w:space="0"/>
              <w:bottom w:val="single" w:color="auto" w:sz="12" w:space="0"/>
              <w:right w:val="single" w:color="auto" w:sz="12" w:space="0"/>
            </w:tcBorders>
            <w:vAlign w:val="center"/>
          </w:tcPr>
          <w:p>
            <w:pPr>
              <w:ind w:right="40"/>
              <w:jc w:val="center"/>
              <w:rPr>
                <w:rFonts w:ascii="Times New Roman" w:hAnsi="Times New Roman" w:cs="Times New Roman" w:eastAsiaTheme="majorEastAsia"/>
                <w:b/>
                <w:bCs/>
                <w:sz w:val="24"/>
              </w:rPr>
            </w:pPr>
            <w:bookmarkStart w:id="0" w:name="_Hlk27499480"/>
            <w:r>
              <w:rPr>
                <w:rFonts w:ascii="Times New Roman" w:cs="Times New Roman" w:hAnsiTheme="majorEastAsia" w:eastAsiaTheme="majorEastAsia"/>
                <w:b/>
                <w:bCs/>
                <w:sz w:val="24"/>
              </w:rPr>
              <w:t>校内师资</w:t>
            </w:r>
            <w:bookmarkEnd w:id="0"/>
            <w:r>
              <w:rPr>
                <w:rFonts w:ascii="Times New Roman" w:cs="Times New Roman" w:hAnsiTheme="majorEastAsia" w:eastAsiaTheme="majorEastAsia"/>
                <w:b/>
                <w:bCs/>
                <w:sz w:val="24"/>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267"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bookmarkStart w:id="1" w:name="_Hlk27727079"/>
            <w:r>
              <w:rPr>
                <w:rFonts w:ascii="Times New Roman" w:cs="Times New Roman" w:hAnsiTheme="majorEastAsia" w:eastAsiaTheme="majorEastAsia"/>
                <w:b/>
                <w:szCs w:val="21"/>
              </w:rPr>
              <w:t>专业技术</w:t>
            </w:r>
          </w:p>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职务级别</w:t>
            </w:r>
            <w:bookmarkEnd w:id="1"/>
          </w:p>
        </w:tc>
        <w:tc>
          <w:tcPr>
            <w:tcW w:w="707"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合计</w:t>
            </w:r>
          </w:p>
        </w:tc>
        <w:tc>
          <w:tcPr>
            <w:tcW w:w="4557" w:type="dxa"/>
            <w:gridSpan w:val="6"/>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年龄结构</w:t>
            </w:r>
          </w:p>
        </w:tc>
        <w:tc>
          <w:tcPr>
            <w:tcW w:w="982"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具有博士学位人数</w:t>
            </w:r>
          </w:p>
        </w:tc>
        <w:tc>
          <w:tcPr>
            <w:tcW w:w="851" w:type="dxa"/>
            <w:vMerge w:val="restart"/>
            <w:tcBorders>
              <w:top w:val="single" w:color="auto" w:sz="12" w:space="0"/>
              <w:left w:val="single" w:color="auto" w:sz="6" w:space="0"/>
              <w:bottom w:val="single" w:color="auto" w:sz="6" w:space="0"/>
              <w:right w:val="single" w:color="auto" w:sz="6" w:space="0"/>
            </w:tcBorders>
            <w:vAlign w:val="center"/>
          </w:tcPr>
          <w:p>
            <w:pPr>
              <w:widowControl/>
              <w:jc w:val="center"/>
              <w:rPr>
                <w:rFonts w:ascii="Times New Roman" w:hAnsi="Times New Roman" w:cs="Times New Roman" w:eastAsiaTheme="majorEastAsia"/>
                <w:b/>
                <w:szCs w:val="21"/>
              </w:rPr>
            </w:pPr>
            <w:r>
              <w:rPr>
                <w:rFonts w:ascii="Times New Roman" w:cs="Times New Roman" w:hAnsiTheme="majorEastAsia" w:eastAsiaTheme="majorEastAsia"/>
                <w:b/>
                <w:szCs w:val="21"/>
              </w:rPr>
              <w:t>具有实务经历人数</w:t>
            </w:r>
          </w:p>
        </w:tc>
        <w:tc>
          <w:tcPr>
            <w:tcW w:w="708" w:type="dxa"/>
            <w:vMerge w:val="restart"/>
            <w:tcBorders>
              <w:top w:val="single" w:color="auto" w:sz="12" w:space="0"/>
              <w:left w:val="single" w:color="auto" w:sz="6" w:space="0"/>
              <w:bottom w:val="single" w:color="auto" w:sz="6" w:space="0"/>
              <w:right w:val="single" w:color="auto" w:sz="12" w:space="0"/>
            </w:tcBorders>
            <w:vAlign w:val="center"/>
          </w:tcPr>
          <w:p>
            <w:pPr>
              <w:widowControl/>
              <w:jc w:val="center"/>
              <w:rPr>
                <w:rFonts w:ascii="Times New Roman" w:hAnsi="Times New Roman" w:cs="Times New Roman" w:eastAsiaTheme="majorEastAsia"/>
                <w:b/>
                <w:szCs w:val="21"/>
              </w:rPr>
            </w:pPr>
            <w:r>
              <w:rPr>
                <w:rFonts w:ascii="Times New Roman" w:cs="Times New Roman" w:hAnsiTheme="majorEastAsia" w:eastAsiaTheme="majorEastAsia"/>
                <w:b/>
                <w:szCs w:val="21"/>
              </w:rPr>
              <w:t>校内导师人数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267"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cs="Times New Roman" w:eastAsiaTheme="majorEastAsia"/>
                <w:b/>
                <w:sz w:val="24"/>
              </w:rPr>
            </w:pPr>
          </w:p>
        </w:tc>
        <w:tc>
          <w:tcPr>
            <w:tcW w:w="707"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 w:val="24"/>
              </w:rPr>
            </w:pPr>
          </w:p>
        </w:tc>
        <w:tc>
          <w:tcPr>
            <w:tcW w:w="113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hAnsi="Times New Roman" w:cs="Times New Roman" w:eastAsiaTheme="majorEastAsia"/>
                <w:b/>
                <w:szCs w:val="21"/>
              </w:rPr>
              <w:t>35</w:t>
            </w:r>
            <w:r>
              <w:rPr>
                <w:rFonts w:ascii="Times New Roman" w:cs="Times New Roman" w:hAnsiTheme="majorEastAsia" w:eastAsiaTheme="majorEastAsia"/>
                <w:b/>
                <w:szCs w:val="21"/>
              </w:rPr>
              <w:t>岁及</w:t>
            </w:r>
          </w:p>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以下</w:t>
            </w:r>
          </w:p>
        </w:tc>
        <w:tc>
          <w:tcPr>
            <w:tcW w:w="12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hAnsi="Times New Roman" w:cs="Times New Roman" w:eastAsiaTheme="majorEastAsia"/>
                <w:b/>
                <w:szCs w:val="21"/>
              </w:rPr>
              <w:t>36</w:t>
            </w:r>
            <w:r>
              <w:rPr>
                <w:rFonts w:ascii="Times New Roman" w:cs="Times New Roman" w:hAnsiTheme="majorEastAsia" w:eastAsiaTheme="majorEastAsia"/>
                <w:b/>
                <w:szCs w:val="21"/>
              </w:rPr>
              <w:t>至</w:t>
            </w:r>
          </w:p>
          <w:p>
            <w:pPr>
              <w:jc w:val="center"/>
              <w:rPr>
                <w:rFonts w:ascii="Times New Roman" w:hAnsi="Times New Roman" w:cs="Times New Roman" w:eastAsiaTheme="majorEastAsia"/>
                <w:b/>
                <w:szCs w:val="21"/>
              </w:rPr>
            </w:pPr>
            <w:r>
              <w:rPr>
                <w:rFonts w:ascii="Times New Roman" w:hAnsi="Times New Roman" w:cs="Times New Roman" w:eastAsiaTheme="majorEastAsia"/>
                <w:b/>
                <w:szCs w:val="21"/>
              </w:rPr>
              <w:t>45</w:t>
            </w:r>
            <w:r>
              <w:rPr>
                <w:rFonts w:ascii="Times New Roman" w:cs="Times New Roman" w:hAnsiTheme="majorEastAsia" w:eastAsiaTheme="majorEastAsia"/>
                <w:b/>
                <w:szCs w:val="21"/>
              </w:rPr>
              <w:t>岁</w:t>
            </w:r>
          </w:p>
        </w:tc>
        <w:tc>
          <w:tcPr>
            <w:tcW w:w="98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hAnsi="Times New Roman" w:cs="Times New Roman" w:eastAsiaTheme="majorEastAsia"/>
                <w:b/>
                <w:szCs w:val="21"/>
              </w:rPr>
              <w:t>46</w:t>
            </w:r>
            <w:r>
              <w:rPr>
                <w:rFonts w:ascii="Times New Roman" w:cs="Times New Roman" w:hAnsiTheme="majorEastAsia" w:eastAsiaTheme="majorEastAsia"/>
                <w:b/>
                <w:szCs w:val="21"/>
              </w:rPr>
              <w:t>至</w:t>
            </w:r>
          </w:p>
          <w:p>
            <w:pPr>
              <w:jc w:val="center"/>
              <w:rPr>
                <w:rFonts w:ascii="Times New Roman" w:hAnsi="Times New Roman" w:cs="Times New Roman" w:eastAsiaTheme="majorEastAsia"/>
                <w:b/>
                <w:szCs w:val="21"/>
              </w:rPr>
            </w:pPr>
            <w:r>
              <w:rPr>
                <w:rFonts w:ascii="Times New Roman" w:hAnsi="Times New Roman" w:cs="Times New Roman" w:eastAsiaTheme="majorEastAsia"/>
                <w:b/>
                <w:szCs w:val="21"/>
              </w:rPr>
              <w:t>60</w:t>
            </w:r>
            <w:r>
              <w:rPr>
                <w:rFonts w:ascii="Times New Roman" w:cs="Times New Roman" w:hAnsiTheme="majorEastAsia" w:eastAsiaTheme="majorEastAsia"/>
                <w:b/>
                <w:szCs w:val="21"/>
              </w:rPr>
              <w:t>岁</w:t>
            </w:r>
          </w:p>
        </w:tc>
        <w:tc>
          <w:tcPr>
            <w:tcW w:w="114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hAnsi="Times New Roman" w:cs="Times New Roman" w:eastAsiaTheme="majorEastAsia"/>
                <w:b/>
                <w:szCs w:val="21"/>
              </w:rPr>
              <w:t>61</w:t>
            </w:r>
            <w:r>
              <w:rPr>
                <w:rFonts w:ascii="Times New Roman" w:cs="Times New Roman" w:hAnsiTheme="majorEastAsia" w:eastAsiaTheme="majorEastAsia"/>
                <w:b/>
                <w:szCs w:val="21"/>
              </w:rPr>
              <w:t>岁及</w:t>
            </w:r>
          </w:p>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以上</w:t>
            </w:r>
          </w:p>
        </w:tc>
        <w:tc>
          <w:tcPr>
            <w:tcW w:w="98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 w:val="24"/>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cs="Times New Roman" w:eastAsiaTheme="majorEastAsia"/>
                <w:b/>
                <w:sz w:val="24"/>
              </w:rPr>
            </w:pPr>
          </w:p>
        </w:tc>
        <w:tc>
          <w:tcPr>
            <w:tcW w:w="708" w:type="dxa"/>
            <w:vMerge w:val="continue"/>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cs="Times New Roman" w:eastAsia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267" w:type="dxa"/>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正高级</w:t>
            </w:r>
          </w:p>
        </w:tc>
        <w:tc>
          <w:tcPr>
            <w:tcW w:w="70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13</w:t>
            </w:r>
          </w:p>
        </w:tc>
        <w:tc>
          <w:tcPr>
            <w:tcW w:w="113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0</w:t>
            </w:r>
          </w:p>
        </w:tc>
        <w:tc>
          <w:tcPr>
            <w:tcW w:w="12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6</w:t>
            </w:r>
          </w:p>
        </w:tc>
        <w:tc>
          <w:tcPr>
            <w:tcW w:w="98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7</w:t>
            </w:r>
          </w:p>
        </w:tc>
        <w:tc>
          <w:tcPr>
            <w:tcW w:w="114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0</w:t>
            </w:r>
          </w:p>
        </w:tc>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9</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10</w:t>
            </w:r>
          </w:p>
        </w:tc>
        <w:tc>
          <w:tcPr>
            <w:tcW w:w="708" w:type="dxa"/>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cs="Times New Roman"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267" w:type="dxa"/>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副高级</w:t>
            </w:r>
          </w:p>
        </w:tc>
        <w:tc>
          <w:tcPr>
            <w:tcW w:w="70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11</w:t>
            </w:r>
          </w:p>
        </w:tc>
        <w:tc>
          <w:tcPr>
            <w:tcW w:w="113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0</w:t>
            </w:r>
          </w:p>
        </w:tc>
        <w:tc>
          <w:tcPr>
            <w:tcW w:w="12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5</w:t>
            </w:r>
          </w:p>
        </w:tc>
        <w:tc>
          <w:tcPr>
            <w:tcW w:w="98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6</w:t>
            </w:r>
          </w:p>
        </w:tc>
        <w:tc>
          <w:tcPr>
            <w:tcW w:w="114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0</w:t>
            </w:r>
          </w:p>
        </w:tc>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8</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10</w:t>
            </w:r>
          </w:p>
        </w:tc>
        <w:tc>
          <w:tcPr>
            <w:tcW w:w="708" w:type="dxa"/>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cs="Times New Roman"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267" w:type="dxa"/>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中</w:t>
            </w:r>
            <w:r>
              <w:rPr>
                <w:rFonts w:ascii="Times New Roman" w:hAnsi="Times New Roman" w:cs="Times New Roman" w:eastAsiaTheme="majorEastAsia"/>
                <w:b/>
                <w:szCs w:val="21"/>
              </w:rPr>
              <w:t xml:space="preserve">  </w:t>
            </w:r>
            <w:r>
              <w:rPr>
                <w:rFonts w:ascii="Times New Roman" w:cs="Times New Roman" w:hAnsiTheme="majorEastAsia" w:eastAsiaTheme="majorEastAsia"/>
                <w:b/>
                <w:szCs w:val="21"/>
              </w:rPr>
              <w:t>级</w:t>
            </w:r>
          </w:p>
        </w:tc>
        <w:tc>
          <w:tcPr>
            <w:tcW w:w="70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9</w:t>
            </w:r>
          </w:p>
        </w:tc>
        <w:tc>
          <w:tcPr>
            <w:tcW w:w="113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0</w:t>
            </w:r>
          </w:p>
        </w:tc>
        <w:tc>
          <w:tcPr>
            <w:tcW w:w="12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7</w:t>
            </w:r>
          </w:p>
        </w:tc>
        <w:tc>
          <w:tcPr>
            <w:tcW w:w="98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2</w:t>
            </w:r>
          </w:p>
        </w:tc>
        <w:tc>
          <w:tcPr>
            <w:tcW w:w="114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0</w:t>
            </w:r>
          </w:p>
        </w:tc>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9</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9</w:t>
            </w:r>
          </w:p>
        </w:tc>
        <w:tc>
          <w:tcPr>
            <w:tcW w:w="708" w:type="dxa"/>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cs="Times New Roman"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267" w:type="dxa"/>
            <w:tcBorders>
              <w:top w:val="single" w:color="auto" w:sz="6" w:space="0"/>
              <w:left w:val="single" w:color="auto" w:sz="12" w:space="0"/>
              <w:bottom w:val="single" w:color="auto" w:sz="12" w:space="0"/>
              <w:right w:val="single" w:color="auto" w:sz="6" w:space="0"/>
            </w:tcBorders>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总</w:t>
            </w:r>
            <w:r>
              <w:rPr>
                <w:rFonts w:ascii="Times New Roman" w:hAnsi="Times New Roman" w:cs="Times New Roman" w:eastAsiaTheme="majorEastAsia"/>
                <w:b/>
                <w:szCs w:val="21"/>
              </w:rPr>
              <w:t xml:space="preserve">  </w:t>
            </w:r>
            <w:r>
              <w:rPr>
                <w:rFonts w:ascii="Times New Roman" w:cs="Times New Roman" w:hAnsiTheme="majorEastAsia" w:eastAsiaTheme="majorEastAsia"/>
                <w:b/>
                <w:szCs w:val="21"/>
              </w:rPr>
              <w:t>计</w:t>
            </w:r>
          </w:p>
        </w:tc>
        <w:tc>
          <w:tcPr>
            <w:tcW w:w="707" w:type="dxa"/>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33</w:t>
            </w:r>
          </w:p>
        </w:tc>
        <w:tc>
          <w:tcPr>
            <w:tcW w:w="1139" w:type="dxa"/>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0</w:t>
            </w:r>
          </w:p>
        </w:tc>
        <w:tc>
          <w:tcPr>
            <w:tcW w:w="1292" w:type="dxa"/>
            <w:gridSpan w:val="2"/>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18</w:t>
            </w:r>
          </w:p>
        </w:tc>
        <w:tc>
          <w:tcPr>
            <w:tcW w:w="986" w:type="dxa"/>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15</w:t>
            </w:r>
          </w:p>
        </w:tc>
        <w:tc>
          <w:tcPr>
            <w:tcW w:w="1140" w:type="dxa"/>
            <w:gridSpan w:val="2"/>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0</w:t>
            </w:r>
          </w:p>
        </w:tc>
        <w:tc>
          <w:tcPr>
            <w:tcW w:w="982" w:type="dxa"/>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30</w:t>
            </w:r>
          </w:p>
        </w:tc>
        <w:tc>
          <w:tcPr>
            <w:tcW w:w="851" w:type="dxa"/>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33</w:t>
            </w:r>
          </w:p>
        </w:tc>
        <w:tc>
          <w:tcPr>
            <w:tcW w:w="708" w:type="dxa"/>
            <w:tcBorders>
              <w:top w:val="single" w:color="auto" w:sz="6" w:space="0"/>
              <w:left w:val="single" w:color="auto" w:sz="6" w:space="0"/>
              <w:bottom w:val="single" w:color="auto" w:sz="12" w:space="0"/>
              <w:right w:val="single" w:color="auto" w:sz="12" w:space="0"/>
            </w:tcBorders>
            <w:vAlign w:val="center"/>
          </w:tcPr>
          <w:p>
            <w:pPr>
              <w:jc w:val="center"/>
              <w:rPr>
                <w:rFonts w:ascii="Times New Roman" w:hAnsi="Times New Roman" w:cs="Times New Roman"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2" w:type="dxa"/>
            <w:gridSpan w:val="11"/>
            <w:tcBorders>
              <w:top w:val="single" w:color="auto" w:sz="12" w:space="0"/>
              <w:left w:val="single" w:color="auto" w:sz="12" w:space="0"/>
              <w:bottom w:val="single" w:color="auto" w:sz="12" w:space="0"/>
              <w:right w:val="single" w:color="auto" w:sz="12" w:space="0"/>
            </w:tcBorders>
            <w:vAlign w:val="center"/>
          </w:tcPr>
          <w:p>
            <w:pPr>
              <w:ind w:right="40"/>
              <w:jc w:val="center"/>
              <w:rPr>
                <w:rFonts w:ascii="Times New Roman" w:hAnsi="Times New Roman" w:cs="Times New Roman" w:eastAsiaTheme="majorEastAsia"/>
                <w:b/>
                <w:bCs/>
                <w:sz w:val="24"/>
              </w:rPr>
            </w:pPr>
            <w:bookmarkStart w:id="2" w:name="_Hlk27499541"/>
            <w:r>
              <w:rPr>
                <w:rFonts w:ascii="Times New Roman" w:cs="Times New Roman" w:hAnsiTheme="majorEastAsia" w:eastAsiaTheme="majorEastAsia"/>
                <w:b/>
                <w:bCs/>
                <w:sz w:val="24"/>
              </w:rPr>
              <w:t>校外师资</w:t>
            </w:r>
            <w:bookmarkEnd w:id="2"/>
            <w:r>
              <w:rPr>
                <w:rFonts w:ascii="Times New Roman" w:cs="Times New Roman" w:hAnsiTheme="majorEastAsia" w:eastAsiaTheme="majorEastAsia"/>
                <w:b/>
                <w:bCs/>
                <w:sz w:val="24"/>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267"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专业技术</w:t>
            </w:r>
          </w:p>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职务级别</w:t>
            </w:r>
          </w:p>
        </w:tc>
        <w:tc>
          <w:tcPr>
            <w:tcW w:w="707"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合计</w:t>
            </w:r>
          </w:p>
        </w:tc>
        <w:tc>
          <w:tcPr>
            <w:tcW w:w="5539" w:type="dxa"/>
            <w:gridSpan w:val="7"/>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单位类型</w:t>
            </w:r>
          </w:p>
        </w:tc>
        <w:tc>
          <w:tcPr>
            <w:tcW w:w="851"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人均工作年限</w:t>
            </w:r>
          </w:p>
        </w:tc>
        <w:tc>
          <w:tcPr>
            <w:tcW w:w="708" w:type="dxa"/>
            <w:vMerge w:val="restart"/>
            <w:tcBorders>
              <w:top w:val="single" w:color="auto" w:sz="12" w:space="0"/>
              <w:left w:val="single" w:color="auto" w:sz="6" w:space="0"/>
              <w:bottom w:val="single" w:color="auto" w:sz="6" w:space="0"/>
              <w:right w:val="single" w:color="auto" w:sz="12" w:space="0"/>
            </w:tcBorders>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校外导师人数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267"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p>
        </w:tc>
        <w:tc>
          <w:tcPr>
            <w:tcW w:w="707"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p>
        </w:tc>
        <w:tc>
          <w:tcPr>
            <w:tcW w:w="1297" w:type="dxa"/>
            <w:gridSpan w:val="2"/>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党政机关</w:t>
            </w:r>
          </w:p>
        </w:tc>
        <w:tc>
          <w:tcPr>
            <w:tcW w:w="1134"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企业单位</w:t>
            </w:r>
          </w:p>
        </w:tc>
        <w:tc>
          <w:tcPr>
            <w:tcW w:w="2126"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事业单位</w:t>
            </w:r>
          </w:p>
        </w:tc>
        <w:tc>
          <w:tcPr>
            <w:tcW w:w="982"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其他机构</w:t>
            </w: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p>
        </w:tc>
        <w:tc>
          <w:tcPr>
            <w:tcW w:w="708" w:type="dxa"/>
            <w:vMerge w:val="continue"/>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cs="Times New Roman"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267"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p>
        </w:tc>
        <w:tc>
          <w:tcPr>
            <w:tcW w:w="707"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p>
        </w:tc>
        <w:tc>
          <w:tcPr>
            <w:tcW w:w="1297" w:type="dxa"/>
            <w:gridSpan w:val="2"/>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高校</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其他</w:t>
            </w:r>
          </w:p>
        </w:tc>
        <w:tc>
          <w:tcPr>
            <w:tcW w:w="98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p>
        </w:tc>
        <w:tc>
          <w:tcPr>
            <w:tcW w:w="708" w:type="dxa"/>
            <w:vMerge w:val="continue"/>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cs="Times New Roman"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267" w:type="dxa"/>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正高级</w:t>
            </w:r>
          </w:p>
        </w:tc>
        <w:tc>
          <w:tcPr>
            <w:tcW w:w="70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hAnsi="Times New Roman" w:cs="Times New Roman" w:eastAsiaTheme="majorEastAsia"/>
                <w:b/>
                <w:szCs w:val="21"/>
              </w:rPr>
              <w:t>31</w:t>
            </w:r>
          </w:p>
        </w:tc>
        <w:tc>
          <w:tcPr>
            <w:tcW w:w="129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hAnsi="Times New Roman" w:cs="Times New Roman" w:eastAsiaTheme="majorEastAsia"/>
                <w:b/>
                <w:szCs w:val="21"/>
              </w:rPr>
              <w:t>4</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hAnsi="Times New Roman" w:cs="Times New Roman" w:eastAsiaTheme="majorEastAsia"/>
                <w:b/>
                <w:szCs w:val="21"/>
              </w:rPr>
              <w:t>5</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hAnsi="Times New Roman" w:cs="Times New Roman" w:eastAsiaTheme="majorEastAsia"/>
                <w:b/>
                <w:szCs w:val="21"/>
              </w:rPr>
              <w:t>0</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hAnsi="Times New Roman" w:cs="Times New Roman" w:eastAsiaTheme="majorEastAsia"/>
                <w:b/>
                <w:szCs w:val="21"/>
              </w:rPr>
              <w:t>22</w:t>
            </w:r>
          </w:p>
        </w:tc>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hAnsi="Times New Roman" w:cs="Times New Roman" w:eastAsiaTheme="majorEastAsia"/>
                <w:b/>
                <w:szCs w:val="21"/>
              </w:rPr>
              <w:t>0</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cs="Times New Roman" w:eastAsiaTheme="majorEastAsia"/>
                <w:b/>
                <w:szCs w:val="21"/>
              </w:rPr>
            </w:pPr>
            <w:r>
              <w:rPr>
                <w:rFonts w:ascii="Times New Roman" w:hAnsi="Times New Roman" w:cs="Times New Roman" w:eastAsiaTheme="majorEastAsia"/>
                <w:b/>
                <w:szCs w:val="21"/>
              </w:rPr>
              <w:t>26</w:t>
            </w:r>
          </w:p>
        </w:tc>
        <w:tc>
          <w:tcPr>
            <w:tcW w:w="708"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cs="Times New Roman" w:eastAsiaTheme="majorEastAsia"/>
                <w:b/>
                <w:szCs w:val="21"/>
              </w:rPr>
            </w:pPr>
            <w:r>
              <w:rPr>
                <w:rFonts w:ascii="Times New Roman" w:hAnsi="Times New Roman" w:cs="Times New Roman" w:eastAsiaTheme="majorEastAsia"/>
                <w:b/>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267" w:type="dxa"/>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副高级</w:t>
            </w:r>
          </w:p>
        </w:tc>
        <w:tc>
          <w:tcPr>
            <w:tcW w:w="70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hAnsi="Times New Roman" w:cs="Times New Roman" w:eastAsiaTheme="majorEastAsia"/>
                <w:b/>
                <w:szCs w:val="21"/>
              </w:rPr>
              <w:t>12</w:t>
            </w:r>
          </w:p>
        </w:tc>
        <w:tc>
          <w:tcPr>
            <w:tcW w:w="129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hAnsi="Times New Roman" w:cs="Times New Roman" w:eastAsiaTheme="majorEastAsia"/>
                <w:b/>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hAnsi="Times New Roman" w:cs="Times New Roman" w:eastAsiaTheme="majorEastAsia"/>
                <w:b/>
                <w:szCs w:val="21"/>
              </w:rPr>
              <w:t>0</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hAnsi="Times New Roman" w:cs="Times New Roman" w:eastAsiaTheme="majorEastAsia"/>
                <w:b/>
                <w:szCs w:val="21"/>
              </w:rPr>
              <w:t>0</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hAnsi="Times New Roman" w:cs="Times New Roman" w:eastAsiaTheme="majorEastAsia"/>
                <w:b/>
                <w:szCs w:val="21"/>
              </w:rPr>
              <w:t>11</w:t>
            </w:r>
          </w:p>
        </w:tc>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hAnsi="Times New Roman" w:cs="Times New Roman" w:eastAsiaTheme="majorEastAsia"/>
                <w:b/>
                <w:szCs w:val="21"/>
              </w:rPr>
              <w:t>0</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cs="Times New Roman" w:eastAsiaTheme="majorEastAsia"/>
                <w:b/>
                <w:szCs w:val="21"/>
              </w:rPr>
            </w:pPr>
            <w:r>
              <w:rPr>
                <w:rFonts w:ascii="Times New Roman" w:hAnsi="Times New Roman" w:cs="Times New Roman" w:eastAsiaTheme="majorEastAsia"/>
                <w:b/>
                <w:szCs w:val="21"/>
              </w:rPr>
              <w:t>17</w:t>
            </w:r>
          </w:p>
        </w:tc>
        <w:tc>
          <w:tcPr>
            <w:tcW w:w="708"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cs="Times New Roman" w:eastAsiaTheme="majorEastAsia"/>
                <w:b/>
                <w:szCs w:val="21"/>
              </w:rPr>
            </w:pPr>
            <w:r>
              <w:rPr>
                <w:rFonts w:ascii="Times New Roman" w:hAnsi="Times New Roman" w:cs="Times New Roman" w:eastAsiaTheme="majorEastAsia"/>
                <w:b/>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267" w:type="dxa"/>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总</w:t>
            </w:r>
            <w:r>
              <w:rPr>
                <w:rFonts w:ascii="Times New Roman" w:hAnsi="Times New Roman" w:cs="Times New Roman" w:eastAsiaTheme="majorEastAsia"/>
                <w:b/>
                <w:szCs w:val="21"/>
              </w:rPr>
              <w:t xml:space="preserve">  </w:t>
            </w:r>
            <w:r>
              <w:rPr>
                <w:rFonts w:ascii="Times New Roman" w:cs="Times New Roman" w:hAnsiTheme="majorEastAsia" w:eastAsiaTheme="majorEastAsia"/>
                <w:b/>
                <w:szCs w:val="21"/>
              </w:rPr>
              <w:t>计</w:t>
            </w:r>
          </w:p>
        </w:tc>
        <w:tc>
          <w:tcPr>
            <w:tcW w:w="70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43</w:t>
            </w:r>
          </w:p>
        </w:tc>
        <w:tc>
          <w:tcPr>
            <w:tcW w:w="129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5</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5</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0</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33</w:t>
            </w:r>
          </w:p>
        </w:tc>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43</w:t>
            </w:r>
          </w:p>
        </w:tc>
        <w:tc>
          <w:tcPr>
            <w:tcW w:w="708" w:type="dxa"/>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cs="Times New Roman" w:eastAsiaTheme="majorEastAsia"/>
                <w:sz w:val="24"/>
              </w:rPr>
            </w:pPr>
            <w:r>
              <w:rPr>
                <w:rFonts w:ascii="Times New Roman" w:hAnsi="Times New Roman" w:cs="Times New Roman" w:eastAsiaTheme="majorEastAsia"/>
                <w:sz w:val="24"/>
              </w:rPr>
              <w:t>43</w:t>
            </w:r>
          </w:p>
        </w:tc>
      </w:tr>
    </w:tbl>
    <w:p>
      <w:pPr>
        <w:pStyle w:val="2"/>
        <w:spacing w:line="560" w:lineRule="exact"/>
        <w:ind w:firstLine="643"/>
        <w:rPr>
          <w:rStyle w:val="9"/>
          <w:rFonts w:ascii="Times New Roman" w:hAnsi="Times New Roman" w:cs="Times New Roman" w:eastAsiaTheme="majorEastAsia"/>
          <w:b/>
          <w:color w:val="auto"/>
          <w:szCs w:val="32"/>
        </w:rPr>
      </w:pPr>
      <w:r>
        <w:rPr>
          <w:rStyle w:val="9"/>
          <w:rFonts w:ascii="Times New Roman" w:cs="Times New Roman" w:hAnsiTheme="majorEastAsia" w:eastAsiaTheme="majorEastAsia"/>
          <w:b/>
          <w:color w:val="auto"/>
          <w:szCs w:val="32"/>
        </w:rPr>
        <w:t>二、研究生党建与思想政治教育工作</w:t>
      </w:r>
    </w:p>
    <w:p>
      <w:pPr>
        <w:spacing w:line="360" w:lineRule="auto"/>
        <w:ind w:firstLine="560" w:firstLineChars="200"/>
        <w:rPr>
          <w:rFonts w:ascii="Times New Roman" w:hAnsi="Times New Roman" w:cs="Times New Roman" w:eastAsiaTheme="majorEastAsia"/>
          <w:color w:val="000000"/>
          <w:sz w:val="28"/>
          <w:szCs w:val="28"/>
          <w:u w:color="000000"/>
          <w:lang w:val="zh-TW" w:eastAsia="zh-TW"/>
        </w:rPr>
      </w:pPr>
      <w:r>
        <w:rPr>
          <w:rFonts w:ascii="Times New Roman" w:cs="Times New Roman" w:hAnsiTheme="majorEastAsia" w:eastAsiaTheme="majorEastAsia"/>
          <w:color w:val="000000"/>
          <w:sz w:val="28"/>
          <w:szCs w:val="28"/>
          <w:u w:color="000000"/>
          <w:lang w:val="zh-TW" w:eastAsia="zh-TW"/>
        </w:rPr>
        <w:t>学院全面加强党的领导，全面贯彻党的教育方针，坚持不懈用习近平新时代中国特色社会主义思想培根铸魂，紧紧围绕立德树人根本任务，坚持培育和践行社会主义核心价值观，把理想信念教育贯穿人才培养全过程，推动个人理想与时代梦想</w:t>
      </w:r>
      <w:r>
        <w:rPr>
          <w:rFonts w:ascii="Times New Roman" w:hAnsi="Times New Roman" w:cs="Times New Roman" w:eastAsiaTheme="majorEastAsia"/>
          <w:color w:val="000000"/>
          <w:sz w:val="28"/>
          <w:szCs w:val="28"/>
          <w:u w:color="000000"/>
          <w:lang w:val="zh-TW" w:eastAsia="zh-TW"/>
        </w:rPr>
        <w:t>“</w:t>
      </w:r>
      <w:r>
        <w:rPr>
          <w:rFonts w:ascii="Times New Roman" w:cs="Times New Roman" w:hAnsiTheme="majorEastAsia" w:eastAsiaTheme="majorEastAsia"/>
          <w:color w:val="000000"/>
          <w:sz w:val="28"/>
          <w:szCs w:val="28"/>
          <w:u w:color="000000"/>
          <w:lang w:val="zh-TW" w:eastAsia="zh-TW"/>
        </w:rPr>
        <w:t>同频共振</w:t>
      </w:r>
      <w:r>
        <w:rPr>
          <w:rFonts w:ascii="Times New Roman" w:hAnsi="Times New Roman" w:cs="Times New Roman" w:eastAsiaTheme="majorEastAsia"/>
          <w:color w:val="000000"/>
          <w:sz w:val="28"/>
          <w:szCs w:val="28"/>
          <w:u w:color="000000"/>
          <w:lang w:val="zh-TW" w:eastAsia="zh-TW"/>
        </w:rPr>
        <w:t>”</w:t>
      </w:r>
      <w:r>
        <w:rPr>
          <w:rFonts w:ascii="Times New Roman" w:cs="Times New Roman" w:hAnsiTheme="majorEastAsia" w:eastAsiaTheme="majorEastAsia"/>
          <w:color w:val="000000"/>
          <w:sz w:val="28"/>
          <w:szCs w:val="28"/>
          <w:u w:color="000000"/>
          <w:lang w:val="zh-TW" w:eastAsia="zh-TW"/>
        </w:rPr>
        <w:t>，实现自我与奉献社会</w:t>
      </w:r>
      <w:r>
        <w:rPr>
          <w:rFonts w:ascii="Times New Roman" w:hAnsi="Times New Roman" w:cs="Times New Roman" w:eastAsiaTheme="majorEastAsia"/>
          <w:color w:val="000000"/>
          <w:sz w:val="28"/>
          <w:szCs w:val="28"/>
          <w:u w:color="000000"/>
          <w:lang w:val="zh-TW" w:eastAsia="zh-TW"/>
        </w:rPr>
        <w:t>“</w:t>
      </w:r>
      <w:r>
        <w:rPr>
          <w:rFonts w:ascii="Times New Roman" w:cs="Times New Roman" w:hAnsiTheme="majorEastAsia" w:eastAsiaTheme="majorEastAsia"/>
          <w:color w:val="000000"/>
          <w:sz w:val="28"/>
          <w:szCs w:val="28"/>
          <w:u w:color="000000"/>
          <w:lang w:val="zh-TW" w:eastAsia="zh-TW"/>
        </w:rPr>
        <w:t>同向同行</w:t>
      </w:r>
      <w:r>
        <w:rPr>
          <w:rFonts w:ascii="Times New Roman" w:hAnsi="Times New Roman" w:cs="Times New Roman" w:eastAsiaTheme="majorEastAsia"/>
          <w:color w:val="000000"/>
          <w:sz w:val="28"/>
          <w:szCs w:val="28"/>
          <w:u w:color="000000"/>
          <w:lang w:val="zh-TW" w:eastAsia="zh-TW"/>
        </w:rPr>
        <w:t>”</w:t>
      </w:r>
      <w:r>
        <w:rPr>
          <w:rFonts w:ascii="Times New Roman" w:cs="Times New Roman" w:hAnsiTheme="majorEastAsia" w:eastAsiaTheme="majorEastAsia"/>
          <w:color w:val="000000"/>
          <w:sz w:val="28"/>
          <w:szCs w:val="28"/>
          <w:u w:color="000000"/>
          <w:lang w:val="zh-TW" w:eastAsia="zh-TW"/>
        </w:rPr>
        <w:t>。健全以教学秘书、专职辅导员、党支部书记、组织员为主体的思政工作队伍，明确责任分工，落实党委主体责任，形成党委主要领导带头抓党建和思政教育的工作机制。依托数学与统计学院，打造</w:t>
      </w:r>
      <w:r>
        <w:rPr>
          <w:rFonts w:ascii="Times New Roman" w:hAnsi="Times New Roman" w:cs="Times New Roman" w:eastAsiaTheme="majorEastAsia"/>
          <w:color w:val="000000"/>
          <w:sz w:val="28"/>
          <w:szCs w:val="28"/>
          <w:u w:color="000000"/>
          <w:lang w:val="zh-TW" w:eastAsia="zh-TW"/>
        </w:rPr>
        <w:t>“</w:t>
      </w:r>
      <w:r>
        <w:rPr>
          <w:rFonts w:ascii="Times New Roman" w:cs="Times New Roman" w:hAnsiTheme="majorEastAsia" w:eastAsiaTheme="majorEastAsia"/>
          <w:color w:val="000000"/>
          <w:sz w:val="28"/>
          <w:szCs w:val="28"/>
          <w:u w:color="000000"/>
          <w:lang w:val="zh-TW" w:eastAsia="zh-TW"/>
        </w:rPr>
        <w:t>数之韵</w:t>
      </w:r>
      <w:r>
        <w:rPr>
          <w:rFonts w:ascii="Times New Roman" w:hAnsi="Times New Roman" w:cs="Times New Roman" w:eastAsiaTheme="majorEastAsia"/>
          <w:color w:val="000000"/>
          <w:sz w:val="28"/>
          <w:szCs w:val="28"/>
          <w:u w:color="000000"/>
          <w:lang w:val="zh-TW" w:eastAsia="zh-TW"/>
        </w:rPr>
        <w:t>”</w:t>
      </w:r>
      <w:r>
        <w:rPr>
          <w:rFonts w:ascii="Times New Roman" w:cs="Times New Roman" w:hAnsiTheme="majorEastAsia" w:eastAsiaTheme="majorEastAsia"/>
          <w:color w:val="000000"/>
          <w:sz w:val="28"/>
          <w:szCs w:val="28"/>
          <w:u w:color="000000"/>
          <w:lang w:val="zh-TW" w:eastAsia="zh-TW"/>
        </w:rPr>
        <w:t>文化节等以弘扬传承数学文化为主题品牌文化活动，团结互助积极向上的文化氛围日益浓厚。全院上下秉承</w:t>
      </w:r>
      <w:r>
        <w:rPr>
          <w:rFonts w:ascii="Times New Roman" w:hAnsi="Times New Roman" w:cs="Times New Roman" w:eastAsiaTheme="majorEastAsia"/>
          <w:color w:val="000000"/>
          <w:sz w:val="28"/>
          <w:szCs w:val="28"/>
          <w:u w:color="000000"/>
          <w:lang w:val="zh-TW" w:eastAsia="zh-TW"/>
        </w:rPr>
        <w:t>“</w:t>
      </w:r>
      <w:r>
        <w:rPr>
          <w:rFonts w:ascii="Times New Roman" w:cs="Times New Roman" w:hAnsiTheme="majorEastAsia" w:eastAsiaTheme="majorEastAsia"/>
          <w:color w:val="000000"/>
          <w:sz w:val="28"/>
          <w:szCs w:val="28"/>
          <w:u w:color="000000"/>
          <w:lang w:val="zh-TW" w:eastAsia="zh-TW"/>
        </w:rPr>
        <w:t>厚德尚学，数往知来</w:t>
      </w:r>
      <w:r>
        <w:rPr>
          <w:rFonts w:ascii="Times New Roman" w:hAnsi="Times New Roman" w:cs="Times New Roman" w:eastAsiaTheme="majorEastAsia"/>
          <w:color w:val="000000"/>
          <w:sz w:val="28"/>
          <w:szCs w:val="28"/>
          <w:u w:color="000000"/>
          <w:lang w:val="zh-TW" w:eastAsia="zh-TW"/>
        </w:rPr>
        <w:t>”</w:t>
      </w:r>
      <w:r>
        <w:rPr>
          <w:rFonts w:ascii="Times New Roman" w:cs="Times New Roman" w:hAnsiTheme="majorEastAsia" w:eastAsiaTheme="majorEastAsia"/>
          <w:color w:val="000000"/>
          <w:sz w:val="28"/>
          <w:szCs w:val="28"/>
          <w:u w:color="000000"/>
          <w:lang w:val="zh-TW" w:eastAsia="zh-TW"/>
        </w:rPr>
        <w:t>的院训，立足岗位，潜心育人，创建一流。</w:t>
      </w:r>
    </w:p>
    <w:p>
      <w:pPr>
        <w:pStyle w:val="2"/>
        <w:spacing w:line="560" w:lineRule="exact"/>
        <w:ind w:firstLine="643"/>
        <w:rPr>
          <w:rStyle w:val="9"/>
          <w:rFonts w:ascii="Times New Roman" w:hAnsi="Times New Roman" w:cs="Times New Roman" w:eastAsiaTheme="majorEastAsia"/>
          <w:b/>
          <w:color w:val="auto"/>
          <w:szCs w:val="32"/>
        </w:rPr>
      </w:pPr>
      <w:r>
        <w:rPr>
          <w:rStyle w:val="9"/>
          <w:rFonts w:ascii="Times New Roman" w:cs="Times New Roman" w:hAnsiTheme="majorEastAsia" w:eastAsiaTheme="majorEastAsia"/>
          <w:b/>
          <w:color w:val="auto"/>
          <w:szCs w:val="32"/>
        </w:rPr>
        <w:t>三、研究生培养相关制度及执行情况</w:t>
      </w:r>
    </w:p>
    <w:p>
      <w:pPr>
        <w:pStyle w:val="2"/>
        <w:spacing w:line="560" w:lineRule="exact"/>
        <w:ind w:firstLine="562"/>
        <w:rPr>
          <w:rStyle w:val="9"/>
          <w:rFonts w:ascii="Times New Roman" w:hAnsi="Times New Roman" w:cs="Times New Roman" w:eastAsiaTheme="majorEastAsia"/>
          <w:b/>
          <w:bCs/>
          <w:color w:val="auto"/>
          <w:sz w:val="28"/>
          <w:szCs w:val="28"/>
        </w:rPr>
      </w:pPr>
      <w:r>
        <w:rPr>
          <w:rStyle w:val="9"/>
          <w:rFonts w:ascii="Times New Roman" w:hAnsi="Times New Roman" w:cs="Times New Roman" w:eastAsiaTheme="majorEastAsia"/>
          <w:b/>
          <w:bCs/>
          <w:color w:val="auto"/>
          <w:sz w:val="28"/>
          <w:szCs w:val="28"/>
        </w:rPr>
        <w:t>1.</w:t>
      </w:r>
      <w:r>
        <w:rPr>
          <w:rStyle w:val="9"/>
          <w:rFonts w:ascii="Times New Roman" w:cs="Times New Roman" w:hAnsiTheme="majorEastAsia" w:eastAsiaTheme="majorEastAsia"/>
          <w:b/>
          <w:bCs/>
          <w:color w:val="auto"/>
          <w:sz w:val="28"/>
          <w:szCs w:val="28"/>
        </w:rPr>
        <w:t>课程建设与实施情况</w:t>
      </w:r>
    </w:p>
    <w:p>
      <w:pPr>
        <w:spacing w:line="360" w:lineRule="auto"/>
        <w:ind w:firstLine="560" w:firstLineChars="200"/>
        <w:rPr>
          <w:rStyle w:val="9"/>
          <w:rFonts w:ascii="Times New Roman" w:hAnsi="Times New Roman" w:cs="Times New Roman" w:eastAsiaTheme="majorEastAsia"/>
          <w:sz w:val="28"/>
          <w:szCs w:val="28"/>
        </w:rPr>
      </w:pPr>
      <w:r>
        <w:rPr>
          <w:rStyle w:val="9"/>
          <w:rFonts w:ascii="Times New Roman" w:cs="Times New Roman" w:hAnsiTheme="majorEastAsia" w:eastAsiaTheme="majorEastAsia"/>
          <w:sz w:val="28"/>
          <w:szCs w:val="28"/>
        </w:rPr>
        <w:t>本专业学位授权点围绕</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立德树人</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根本任务，立足西部，在培养面向国家重大需求、面向国际统计与数据科学前沿的创新人才中，高度重视课程体系建设，通过一系列课程改革探索，形成了</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厚基础、宽视野、强实践</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的培养特色并取得了显著的成效。</w:t>
      </w:r>
    </w:p>
    <w:p>
      <w:pPr>
        <w:spacing w:line="360" w:lineRule="auto"/>
        <w:ind w:firstLine="560" w:firstLineChars="200"/>
        <w:rPr>
          <w:rStyle w:val="9"/>
          <w:rFonts w:ascii="Times New Roman" w:hAnsi="Times New Roman" w:cs="Times New Roman" w:eastAsiaTheme="majorEastAsia"/>
          <w:sz w:val="28"/>
          <w:szCs w:val="28"/>
        </w:rPr>
      </w:pPr>
      <w:r>
        <w:rPr>
          <w:rStyle w:val="9"/>
          <w:rFonts w:ascii="Times New Roman" w:hAnsi="Times New Roman" w:cs="Times New Roman" w:eastAsiaTheme="majorEastAsia"/>
          <w:sz w:val="28"/>
          <w:szCs w:val="28"/>
        </w:rPr>
        <w:t>(1).</w:t>
      </w:r>
      <w:r>
        <w:rPr>
          <w:rStyle w:val="9"/>
          <w:rFonts w:ascii="Times New Roman" w:cs="Times New Roman" w:hAnsiTheme="majorEastAsia" w:eastAsiaTheme="majorEastAsia"/>
          <w:sz w:val="28"/>
          <w:szCs w:val="28"/>
        </w:rPr>
        <w:t>夯实专业基础，优化原有课程设置，完善课程体系。新的课程体系包含《现代统计学》等</w:t>
      </w:r>
      <w:r>
        <w:rPr>
          <w:rStyle w:val="9"/>
          <w:rFonts w:ascii="Times New Roman" w:hAnsi="Times New Roman" w:cs="Times New Roman" w:eastAsiaTheme="majorEastAsia"/>
          <w:sz w:val="28"/>
          <w:szCs w:val="28"/>
        </w:rPr>
        <w:t>6</w:t>
      </w:r>
      <w:r>
        <w:rPr>
          <w:rStyle w:val="9"/>
          <w:rFonts w:ascii="Times New Roman" w:cs="Times New Roman" w:hAnsiTheme="majorEastAsia" w:eastAsiaTheme="majorEastAsia"/>
          <w:sz w:val="28"/>
          <w:szCs w:val="28"/>
        </w:rPr>
        <w:t>门必修课、</w:t>
      </w:r>
      <w:r>
        <w:rPr>
          <w:rStyle w:val="9"/>
          <w:rFonts w:ascii="Times New Roman" w:hAnsi="Times New Roman" w:cs="Times New Roman" w:eastAsiaTheme="majorEastAsia"/>
          <w:sz w:val="28"/>
          <w:szCs w:val="28"/>
        </w:rPr>
        <w:t>18</w:t>
      </w:r>
      <w:r>
        <w:rPr>
          <w:rStyle w:val="9"/>
          <w:rFonts w:ascii="Times New Roman" w:cs="Times New Roman" w:hAnsiTheme="majorEastAsia" w:eastAsiaTheme="majorEastAsia"/>
          <w:sz w:val="28"/>
          <w:szCs w:val="28"/>
        </w:rPr>
        <w:t>门选修课及根据课题需要的补修课</w:t>
      </w:r>
      <w:r>
        <w:rPr>
          <w:rStyle w:val="9"/>
          <w:rFonts w:ascii="Times New Roman" w:hAnsi="Times New Roman" w:cs="Times New Roman" w:eastAsiaTheme="majorEastAsia"/>
          <w:sz w:val="28"/>
          <w:szCs w:val="28"/>
        </w:rPr>
        <w:t>3</w:t>
      </w:r>
      <w:r>
        <w:rPr>
          <w:rStyle w:val="9"/>
          <w:rFonts w:ascii="Times New Roman" w:cs="Times New Roman" w:hAnsiTheme="majorEastAsia" w:eastAsiaTheme="majorEastAsia"/>
          <w:sz w:val="28"/>
          <w:szCs w:val="28"/>
        </w:rPr>
        <w:t>个模块。这些课程较全面地覆盖了各培养方向，以保证不同基础的研究生均具有扎实、宽厚的专业基础知识，增强了研究生应用创新的能力。</w:t>
      </w:r>
    </w:p>
    <w:p>
      <w:pPr>
        <w:spacing w:line="360" w:lineRule="auto"/>
        <w:ind w:firstLine="560" w:firstLineChars="200"/>
        <w:rPr>
          <w:rStyle w:val="9"/>
          <w:rFonts w:ascii="Times New Roman" w:hAnsi="Times New Roman" w:cs="Times New Roman" w:eastAsiaTheme="majorEastAsia"/>
          <w:sz w:val="28"/>
          <w:szCs w:val="28"/>
        </w:rPr>
      </w:pPr>
      <w:r>
        <w:rPr>
          <w:rStyle w:val="9"/>
          <w:rFonts w:ascii="Times New Roman" w:hAnsi="Times New Roman" w:cs="Times New Roman" w:eastAsiaTheme="majorEastAsia"/>
          <w:sz w:val="28"/>
          <w:szCs w:val="28"/>
        </w:rPr>
        <w:t>(2).</w:t>
      </w:r>
      <w:r>
        <w:rPr>
          <w:rStyle w:val="9"/>
          <w:rFonts w:ascii="Times New Roman" w:cs="Times New Roman" w:hAnsiTheme="majorEastAsia" w:eastAsiaTheme="majorEastAsia"/>
          <w:sz w:val="28"/>
          <w:szCs w:val="28"/>
        </w:rPr>
        <w:t>拓宽国际视野，通过多种方式开阔研究生的学术视野、激发创新思维。先后特邀国内外著名学者与行业专家到校交流访问，开设过</w:t>
      </w:r>
      <w:r>
        <w:rPr>
          <w:rStyle w:val="9"/>
          <w:rFonts w:ascii="Times New Roman" w:hAnsi="Times New Roman" w:cs="Times New Roman" w:eastAsiaTheme="majorEastAsia"/>
          <w:sz w:val="28"/>
          <w:szCs w:val="28"/>
        </w:rPr>
        <w:t>8</w:t>
      </w:r>
      <w:r>
        <w:rPr>
          <w:rStyle w:val="9"/>
          <w:rFonts w:ascii="Times New Roman" w:cs="Times New Roman" w:hAnsiTheme="majorEastAsia" w:eastAsiaTheme="majorEastAsia"/>
          <w:sz w:val="28"/>
          <w:szCs w:val="28"/>
        </w:rPr>
        <w:t>门统计学短期前沿专题课程，举办过多次学术讲座，帮助研究生及时了解学科前沿及行业需求，快速融入相关课题，促进职业发展和国际化水平。</w:t>
      </w:r>
    </w:p>
    <w:p>
      <w:pPr>
        <w:spacing w:line="360" w:lineRule="auto"/>
        <w:ind w:firstLine="560" w:firstLineChars="200"/>
        <w:rPr>
          <w:rStyle w:val="9"/>
          <w:rFonts w:ascii="Times New Roman" w:hAnsi="Times New Roman" w:cs="Times New Roman" w:eastAsiaTheme="majorEastAsia"/>
          <w:sz w:val="28"/>
          <w:szCs w:val="28"/>
        </w:rPr>
      </w:pPr>
      <w:r>
        <w:rPr>
          <w:rStyle w:val="9"/>
          <w:rFonts w:ascii="Times New Roman" w:hAnsi="Times New Roman" w:cs="Times New Roman" w:eastAsiaTheme="majorEastAsia"/>
          <w:sz w:val="28"/>
          <w:szCs w:val="28"/>
        </w:rPr>
        <w:t>(3).</w:t>
      </w:r>
      <w:r>
        <w:rPr>
          <w:rStyle w:val="9"/>
          <w:rFonts w:ascii="Times New Roman" w:cs="Times New Roman" w:hAnsiTheme="majorEastAsia" w:eastAsiaTheme="majorEastAsia"/>
          <w:sz w:val="28"/>
          <w:szCs w:val="28"/>
        </w:rPr>
        <w:t>强化实践教学，融入应用及职业能力的典型案例。本授权点强调实践应用，开设了《实用数据分析方法与案例》等应用型课程，将横向课题的成果融入到相关案例，既训练了学生处理和分析数据的实践技能，也加深了其对社会行业发展需求的认识、提升了职业能力，成为培养环节中实践育人的重要组成部分。</w:t>
      </w:r>
    </w:p>
    <w:p>
      <w:pPr>
        <w:pStyle w:val="2"/>
        <w:numPr>
          <w:ilvl w:val="0"/>
          <w:numId w:val="3"/>
        </w:numPr>
        <w:spacing w:line="560" w:lineRule="exact"/>
        <w:ind w:firstLine="562"/>
        <w:rPr>
          <w:rStyle w:val="9"/>
          <w:rFonts w:ascii="Times New Roman" w:hAnsi="Times New Roman" w:cs="Times New Roman" w:eastAsiaTheme="majorEastAsia"/>
          <w:b/>
          <w:bCs/>
          <w:color w:val="auto"/>
          <w:sz w:val="28"/>
          <w:szCs w:val="28"/>
        </w:rPr>
      </w:pPr>
      <w:r>
        <w:rPr>
          <w:rStyle w:val="9"/>
          <w:rFonts w:ascii="Times New Roman" w:cs="Times New Roman" w:hAnsiTheme="majorEastAsia" w:eastAsiaTheme="majorEastAsia"/>
          <w:b/>
          <w:bCs/>
          <w:color w:val="auto"/>
          <w:sz w:val="28"/>
          <w:szCs w:val="28"/>
        </w:rPr>
        <w:t>导师选拔培训上岗考核情况</w:t>
      </w:r>
    </w:p>
    <w:p>
      <w:pPr>
        <w:pStyle w:val="12"/>
        <w:autoSpaceDE w:val="0"/>
        <w:autoSpaceDN w:val="0"/>
        <w:adjustRightInd w:val="0"/>
        <w:ind w:firstLine="560"/>
        <w:jc w:val="left"/>
        <w:rPr>
          <w:rStyle w:val="9"/>
          <w:rFonts w:ascii="Times New Roman" w:hAnsi="Times New Roman" w:cs="Times New Roman" w:eastAsiaTheme="majorEastAsia"/>
          <w:color w:val="auto"/>
          <w:sz w:val="28"/>
          <w:szCs w:val="28"/>
          <w:highlight w:val="none"/>
          <w:shd w:val="clear" w:color="auto" w:fill="auto"/>
        </w:rPr>
      </w:pPr>
      <w:r>
        <w:rPr>
          <w:rStyle w:val="9"/>
          <w:rFonts w:ascii="Times New Roman" w:cs="Times New Roman" w:hAnsiTheme="majorEastAsia" w:eastAsiaTheme="majorEastAsia"/>
          <w:sz w:val="28"/>
          <w:szCs w:val="28"/>
        </w:rPr>
        <w:t>严格按照《兰州大学专业学位硕士研究生指导教师上岗审核办法（试行）》文件聘任导师，对申请者的专业基础，实践能力和科研项目等严格把关。学校、学院对新聘导师进行岗前培训，熟悉制度，明确职责；积极组织导师参加专业行业培训会议</w:t>
      </w:r>
      <w:r>
        <w:rPr>
          <w:rStyle w:val="9"/>
          <w:rFonts w:hint="eastAsia" w:ascii="Times New Roman" w:hAnsi="Times New Roman" w:cs="Times New Roman" w:eastAsiaTheme="majorEastAsia"/>
          <w:sz w:val="28"/>
          <w:szCs w:val="28"/>
          <w:lang w:val="en-US"/>
        </w:rPr>
        <w:t>50</w:t>
      </w:r>
      <w:r>
        <w:rPr>
          <w:rStyle w:val="9"/>
          <w:rFonts w:ascii="Times New Roman" w:cs="Times New Roman" w:hAnsiTheme="majorEastAsia" w:eastAsiaTheme="majorEastAsia"/>
          <w:sz w:val="28"/>
          <w:szCs w:val="28"/>
          <w:highlight w:val="none"/>
        </w:rPr>
        <w:t>余</w:t>
      </w:r>
      <w:r>
        <w:rPr>
          <w:rStyle w:val="9"/>
          <w:rFonts w:ascii="Times New Roman" w:cs="Times New Roman" w:hAnsiTheme="majorEastAsia" w:eastAsiaTheme="majorEastAsia"/>
          <w:color w:val="auto"/>
          <w:sz w:val="28"/>
          <w:szCs w:val="28"/>
          <w:highlight w:val="none"/>
          <w:shd w:val="clear" w:color="auto" w:fill="auto"/>
        </w:rPr>
        <w:t>人次</w:t>
      </w:r>
      <w:r>
        <w:rPr>
          <w:rStyle w:val="9"/>
          <w:rFonts w:hint="eastAsia" w:ascii="Times New Roman" w:cs="Times New Roman" w:hAnsiTheme="majorEastAsia" w:eastAsiaTheme="majorEastAsia"/>
          <w:color w:val="auto"/>
          <w:sz w:val="28"/>
          <w:szCs w:val="28"/>
          <w:highlight w:val="none"/>
          <w:shd w:val="clear" w:color="auto" w:fill="auto"/>
        </w:rPr>
        <w:t>（</w:t>
      </w:r>
      <w:r>
        <w:rPr>
          <w:rStyle w:val="9"/>
          <w:rFonts w:hint="eastAsia" w:ascii="Times New Roman" w:cs="Times New Roman" w:hAnsiTheme="majorEastAsia" w:eastAsiaTheme="majorEastAsia"/>
          <w:color w:val="auto"/>
          <w:sz w:val="28"/>
          <w:szCs w:val="28"/>
          <w:highlight w:val="none"/>
          <w:shd w:val="clear" w:color="auto" w:fill="auto"/>
          <w:lang w:val="en-US"/>
        </w:rPr>
        <w:t>2020年</w:t>
      </w:r>
      <w:r>
        <w:rPr>
          <w:rStyle w:val="9"/>
          <w:rFonts w:hint="eastAsia" w:ascii="Times New Roman" w:cs="Times New Roman" w:hAnsiTheme="majorEastAsia" w:eastAsiaTheme="majorEastAsia"/>
          <w:color w:val="auto"/>
          <w:sz w:val="28"/>
          <w:szCs w:val="28"/>
          <w:highlight w:val="none"/>
          <w:shd w:val="clear" w:color="auto" w:fill="auto"/>
        </w:rPr>
        <w:t>）</w:t>
      </w:r>
      <w:r>
        <w:rPr>
          <w:rStyle w:val="9"/>
          <w:rFonts w:ascii="Times New Roman" w:cs="Times New Roman" w:hAnsiTheme="majorEastAsia" w:eastAsiaTheme="majorEastAsia"/>
          <w:color w:val="auto"/>
          <w:sz w:val="28"/>
          <w:szCs w:val="28"/>
          <w:highlight w:val="none"/>
          <w:shd w:val="clear" w:color="auto" w:fill="auto"/>
        </w:rPr>
        <w:t>。</w:t>
      </w:r>
    </w:p>
    <w:p>
      <w:pPr>
        <w:pStyle w:val="12"/>
        <w:autoSpaceDE w:val="0"/>
        <w:autoSpaceDN w:val="0"/>
        <w:adjustRightInd w:val="0"/>
        <w:ind w:firstLine="618" w:firstLineChars="221"/>
        <w:jc w:val="left"/>
        <w:rPr>
          <w:rStyle w:val="9"/>
          <w:rFonts w:ascii="Times New Roman" w:hAnsi="Times New Roman" w:cs="Times New Roman" w:eastAsiaTheme="majorEastAsia"/>
          <w:sz w:val="28"/>
          <w:szCs w:val="28"/>
        </w:rPr>
      </w:pPr>
      <w:r>
        <w:rPr>
          <w:rStyle w:val="9"/>
          <w:rFonts w:ascii="Times New Roman" w:cs="Times New Roman" w:hAnsiTheme="majorEastAsia" w:eastAsiaTheme="majorEastAsia"/>
          <w:sz w:val="28"/>
          <w:szCs w:val="28"/>
        </w:rPr>
        <w:t>强化与校外导师合作，努力打造</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双师型</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导师，通过不定期邀请校外导师讨论培养的衔接及专业知识更新，并定期安排相关师生到大数据企业进行合作实践，提升导师的应用背景和职业化水平，并促进产学研协同发展。</w:t>
      </w:r>
      <w:r>
        <w:rPr>
          <w:rStyle w:val="9"/>
          <w:rFonts w:ascii="Times New Roman" w:hAnsi="Times New Roman" w:cs="Times New Roman" w:eastAsiaTheme="majorEastAsia"/>
          <w:sz w:val="28"/>
          <w:szCs w:val="28"/>
        </w:rPr>
        <w:t> </w:t>
      </w:r>
    </w:p>
    <w:p>
      <w:pPr>
        <w:pStyle w:val="2"/>
        <w:tabs>
          <w:tab w:val="left" w:pos="312"/>
        </w:tabs>
        <w:spacing w:line="560" w:lineRule="exact"/>
        <w:ind w:left="562" w:firstLine="0" w:firstLineChars="0"/>
        <w:rPr>
          <w:rStyle w:val="9"/>
          <w:rFonts w:ascii="Times New Roman" w:hAnsi="Times New Roman" w:cs="Times New Roman" w:eastAsiaTheme="majorEastAsia"/>
          <w:b/>
          <w:bCs/>
          <w:color w:val="auto"/>
          <w:sz w:val="28"/>
          <w:szCs w:val="28"/>
        </w:rPr>
      </w:pPr>
      <w:r>
        <w:rPr>
          <w:rStyle w:val="9"/>
          <w:rFonts w:ascii="Times New Roman" w:hAnsi="Times New Roman" w:cs="Times New Roman" w:eastAsiaTheme="majorEastAsia"/>
          <w:b/>
          <w:bCs/>
          <w:color w:val="auto"/>
          <w:sz w:val="28"/>
          <w:szCs w:val="28"/>
        </w:rPr>
        <w:t xml:space="preserve">3. </w:t>
      </w:r>
      <w:r>
        <w:rPr>
          <w:rStyle w:val="9"/>
          <w:rFonts w:ascii="Times New Roman" w:cs="Times New Roman" w:hAnsiTheme="majorEastAsia" w:eastAsiaTheme="majorEastAsia"/>
          <w:b/>
          <w:bCs/>
          <w:color w:val="auto"/>
          <w:sz w:val="28"/>
          <w:szCs w:val="28"/>
        </w:rPr>
        <w:t>师德师风建设情况</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Style w:val="9"/>
          <w:rFonts w:ascii="Times New Roman" w:cs="Times New Roman" w:hAnsiTheme="majorEastAsia" w:eastAsiaTheme="majorEastAsia"/>
          <w:sz w:val="28"/>
          <w:szCs w:val="28"/>
        </w:rPr>
      </w:pPr>
      <w:r>
        <w:rPr>
          <w:rStyle w:val="9"/>
          <w:rFonts w:ascii="Times New Roman" w:cs="Times New Roman" w:hAnsiTheme="majorEastAsia" w:eastAsiaTheme="majorEastAsia"/>
          <w:sz w:val="28"/>
          <w:szCs w:val="28"/>
        </w:rPr>
        <w:t>近年来，学位师德师风建设工作以做“四有好老师”为目标，进一步理清思路，夯实基础，不断丰富内容，创新形式，使师德师风建设工作有典型、有特色、有影响、有形象。</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Style w:val="9"/>
          <w:rFonts w:ascii="Times New Roman" w:cs="Times New Roman" w:hAnsiTheme="majorEastAsia" w:eastAsiaTheme="majorEastAsia"/>
          <w:sz w:val="28"/>
          <w:szCs w:val="28"/>
        </w:rPr>
      </w:pPr>
      <w:r>
        <w:rPr>
          <w:rStyle w:val="9"/>
          <w:rFonts w:ascii="Times New Roman" w:cs="Times New Roman" w:hAnsiTheme="majorEastAsia" w:eastAsiaTheme="majorEastAsia"/>
          <w:sz w:val="28"/>
          <w:szCs w:val="28"/>
        </w:rPr>
        <w:t>体制机制健全完善。健全师德师风考核工作小组、基层教学系、教师三级工作体系，教师党支部、学术委员会、工会在师德师风建设中的作用得到充分发挥，队伍更加壮大，完善了激励机制，形成了师德师风建设常态化长效化的体制机制。</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Style w:val="9"/>
          <w:rFonts w:ascii="Times New Roman" w:cs="Times New Roman" w:hAnsiTheme="majorEastAsia" w:eastAsiaTheme="majorEastAsia"/>
          <w:sz w:val="28"/>
          <w:szCs w:val="28"/>
        </w:rPr>
      </w:pPr>
      <w:r>
        <w:rPr>
          <w:rStyle w:val="9"/>
          <w:rFonts w:ascii="Times New Roman" w:cs="Times New Roman" w:hAnsiTheme="majorEastAsia" w:eastAsiaTheme="majorEastAsia"/>
          <w:sz w:val="28"/>
          <w:szCs w:val="28"/>
        </w:rPr>
        <w:t>师德建设成果丰硕。专业学位注重传承崇尚师德的优良传统，教学实践并重，教书育人并举，通过积极开展专业讲课比赛、集体备课、课程思政比赛等方式提升教师全方位的能力，共有40余人次参与其中。积极号召广大教师爱岗敬业、为人师表、关爱学生、真情服务，把培养社会主义事业合格建设者和可靠接班人的要求落实在日常教育教学活动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9"/>
          <w:rFonts w:ascii="Times New Roman" w:cs="Times New Roman" w:hAnsiTheme="majorEastAsia" w:eastAsiaTheme="majorEastAsia"/>
          <w:sz w:val="28"/>
          <w:szCs w:val="28"/>
        </w:rPr>
      </w:pPr>
      <w:r>
        <w:rPr>
          <w:rStyle w:val="9"/>
          <w:rFonts w:ascii="Times New Roman" w:cs="Times New Roman" w:hAnsiTheme="majorEastAsia" w:eastAsiaTheme="majorEastAsia"/>
          <w:sz w:val="28"/>
          <w:szCs w:val="28"/>
        </w:rPr>
        <w:t>典型引领成效突出。学院涌现出一批教师中的先进典型人物，如“甘肃好人”模范人物雷鹏、“助残帮扶”模范人物徐守军、“课堂思政”优秀教师马智慧等，以“身边的榜样”为主题，教育广大教师争做“四有好老师”。此外，专业学位教授、副教授给本硕上课率 100%。在他们的引领和带动下，引导教师立足岗位、建功立业，一批批青年教师成长为新的发展力量。</w:t>
      </w:r>
    </w:p>
    <w:p>
      <w:pPr>
        <w:pStyle w:val="2"/>
        <w:tabs>
          <w:tab w:val="left" w:pos="312"/>
        </w:tabs>
        <w:spacing w:line="560" w:lineRule="exact"/>
        <w:ind w:firstLine="0" w:firstLineChars="0"/>
        <w:rPr>
          <w:rStyle w:val="9"/>
          <w:rFonts w:ascii="Times New Roman" w:hAnsi="Times New Roman" w:cs="Times New Roman" w:eastAsiaTheme="majorEastAsia"/>
          <w:b/>
          <w:bCs/>
          <w:color w:val="auto"/>
          <w:sz w:val="28"/>
          <w:szCs w:val="28"/>
        </w:rPr>
      </w:pPr>
      <w:r>
        <w:rPr>
          <w:rStyle w:val="9"/>
          <w:rFonts w:ascii="Times New Roman" w:hAnsi="Times New Roman" w:cs="Times New Roman" w:eastAsiaTheme="majorEastAsia"/>
          <w:b/>
          <w:bCs/>
          <w:color w:val="auto"/>
          <w:sz w:val="28"/>
          <w:szCs w:val="28"/>
        </w:rPr>
        <w:t xml:space="preserve">4. </w:t>
      </w:r>
      <w:r>
        <w:rPr>
          <w:rStyle w:val="9"/>
          <w:rFonts w:ascii="Times New Roman" w:cs="Times New Roman" w:hAnsiTheme="majorEastAsia" w:eastAsiaTheme="majorEastAsia"/>
          <w:b/>
          <w:bCs/>
          <w:color w:val="auto"/>
          <w:sz w:val="28"/>
          <w:szCs w:val="28"/>
        </w:rPr>
        <w:t>专业技能训练情况</w:t>
      </w:r>
    </w:p>
    <w:p>
      <w:pPr>
        <w:spacing w:line="360" w:lineRule="auto"/>
        <w:ind w:firstLine="560" w:firstLineChars="200"/>
        <w:rPr>
          <w:rStyle w:val="9"/>
          <w:rFonts w:ascii="Times New Roman" w:hAnsi="Times New Roman" w:cs="Times New Roman" w:eastAsiaTheme="majorEastAsia"/>
          <w:color w:val="000000"/>
          <w:sz w:val="28"/>
          <w:szCs w:val="28"/>
        </w:rPr>
      </w:pPr>
      <w:r>
        <w:rPr>
          <w:rStyle w:val="9"/>
          <w:rFonts w:ascii="Times New Roman" w:cs="Times New Roman" w:hAnsiTheme="majorEastAsia" w:eastAsiaTheme="majorEastAsia"/>
          <w:color w:val="000000"/>
          <w:sz w:val="28"/>
          <w:szCs w:val="28"/>
        </w:rPr>
        <w:t>本专业学位授权点在研究生教学和指导过程中注重引入案例教学并同步开展案例库建设和案例教学模式的开发。案例贯穿每门课程教学的始终。经过十年左右的积累，本授权点积累了丰富的案例素材，并且持续更新。</w:t>
      </w:r>
    </w:p>
    <w:p>
      <w:pPr>
        <w:spacing w:line="360" w:lineRule="auto"/>
        <w:ind w:firstLine="420"/>
        <w:rPr>
          <w:rStyle w:val="9"/>
          <w:rFonts w:ascii="Times New Roman" w:hAnsi="Times New Roman" w:cs="Times New Roman" w:eastAsiaTheme="majorEastAsia"/>
          <w:color w:val="000000"/>
          <w:sz w:val="28"/>
          <w:szCs w:val="28"/>
        </w:rPr>
      </w:pPr>
      <w:r>
        <w:rPr>
          <w:rStyle w:val="9"/>
          <w:rFonts w:ascii="Times New Roman" w:cs="Times New Roman" w:hAnsiTheme="majorEastAsia" w:eastAsiaTheme="majorEastAsia"/>
          <w:color w:val="000000"/>
          <w:sz w:val="28"/>
          <w:szCs w:val="28"/>
        </w:rPr>
        <w:t>本授权点的特色做法是各导师带领研究生进行案例讨论，参加案例竞赛，与企业合作解决问题等。导师组织研讨并结合学生自身的基础及兴趣进行指导，研究数据分析相关领域的前沿文献，包括目前重要的数据及算法等，鼓励学生参加各类案例大赛。</w:t>
      </w:r>
    </w:p>
    <w:p>
      <w:pPr>
        <w:spacing w:line="360" w:lineRule="auto"/>
        <w:ind w:firstLine="560" w:firstLineChars="200"/>
        <w:rPr>
          <w:rStyle w:val="9"/>
          <w:rFonts w:ascii="Times New Roman" w:hAnsi="Times New Roman" w:cs="Times New Roman" w:eastAsiaTheme="majorEastAsia"/>
          <w:color w:val="000000"/>
          <w:sz w:val="28"/>
          <w:szCs w:val="28"/>
        </w:rPr>
      </w:pPr>
      <w:r>
        <w:rPr>
          <w:rStyle w:val="9"/>
          <w:rFonts w:ascii="Times New Roman" w:cs="Times New Roman" w:hAnsiTheme="majorEastAsia" w:eastAsiaTheme="majorEastAsia"/>
          <w:color w:val="000000"/>
          <w:sz w:val="28"/>
          <w:szCs w:val="28"/>
        </w:rPr>
        <w:t>通过案例教学模式，培养了学生的学习能力、实践能力和文献查阅能力，深化了教学改革，创新了案例教学模式，提高了教学质量。与兰州大学附属第一医院、第二医院合作解决一些医学问题；导师带领学生参加银行数据案例大赛、进入企业进行推荐系统开发研究、深入进行气象数据分析。</w:t>
      </w:r>
    </w:p>
    <w:p>
      <w:pPr>
        <w:spacing w:line="360" w:lineRule="auto"/>
        <w:ind w:firstLine="560" w:firstLineChars="200"/>
        <w:rPr>
          <w:rStyle w:val="9"/>
          <w:rFonts w:ascii="Times New Roman" w:hAnsi="Times New Roman" w:cs="Times New Roman" w:eastAsiaTheme="majorEastAsia"/>
          <w:color w:val="000000"/>
          <w:sz w:val="28"/>
          <w:szCs w:val="28"/>
        </w:rPr>
      </w:pPr>
      <w:r>
        <w:rPr>
          <w:rStyle w:val="9"/>
          <w:rFonts w:ascii="Times New Roman" w:hAnsi="Times New Roman" w:cs="Times New Roman" w:eastAsiaTheme="majorEastAsia"/>
          <w:color w:val="000000"/>
          <w:sz w:val="28"/>
          <w:szCs w:val="28"/>
        </w:rPr>
        <w:t>2020</w:t>
      </w:r>
      <w:r>
        <w:rPr>
          <w:rStyle w:val="9"/>
          <w:rFonts w:ascii="Times New Roman" w:cs="Times New Roman" w:hAnsiTheme="majorEastAsia" w:eastAsiaTheme="majorEastAsia"/>
          <w:color w:val="000000"/>
          <w:sz w:val="28"/>
          <w:szCs w:val="28"/>
        </w:rPr>
        <w:t>年度共有</w:t>
      </w:r>
      <w:r>
        <w:rPr>
          <w:rStyle w:val="9"/>
          <w:rFonts w:ascii="Times New Roman" w:hAnsi="Times New Roman" w:cs="Times New Roman" w:eastAsiaTheme="majorEastAsia"/>
          <w:color w:val="000000"/>
          <w:sz w:val="28"/>
          <w:szCs w:val="28"/>
        </w:rPr>
        <w:t>4</w:t>
      </w:r>
      <w:r>
        <w:rPr>
          <w:rStyle w:val="9"/>
          <w:rFonts w:ascii="Times New Roman" w:cs="Times New Roman" w:hAnsiTheme="majorEastAsia" w:eastAsiaTheme="majorEastAsia"/>
          <w:color w:val="000000"/>
          <w:sz w:val="28"/>
          <w:szCs w:val="28"/>
        </w:rPr>
        <w:t>项案例获得全国应用统计研究生案例大赛三等奖。特别地，</w:t>
      </w:r>
      <w:r>
        <w:rPr>
          <w:rStyle w:val="9"/>
          <w:rFonts w:ascii="Times New Roman" w:hAnsi="Times New Roman" w:cs="Times New Roman" w:eastAsiaTheme="majorEastAsia"/>
          <w:color w:val="000000"/>
          <w:sz w:val="28"/>
          <w:szCs w:val="28"/>
        </w:rPr>
        <w:t>“</w:t>
      </w:r>
      <w:r>
        <w:rPr>
          <w:rStyle w:val="9"/>
          <w:rFonts w:ascii="Times New Roman" w:cs="Times New Roman" w:hAnsiTheme="majorEastAsia" w:eastAsiaTheme="majorEastAsia"/>
          <w:color w:val="000000"/>
          <w:sz w:val="28"/>
          <w:szCs w:val="28"/>
        </w:rPr>
        <w:t>基于分位数回归的空气质量指数分析</w:t>
      </w:r>
      <w:r>
        <w:rPr>
          <w:rStyle w:val="9"/>
          <w:rFonts w:ascii="Times New Roman" w:hAnsi="Times New Roman" w:cs="Times New Roman" w:eastAsiaTheme="majorEastAsia"/>
          <w:color w:val="000000"/>
          <w:sz w:val="28"/>
          <w:szCs w:val="28"/>
        </w:rPr>
        <w:t>—</w:t>
      </w:r>
      <w:r>
        <w:rPr>
          <w:rStyle w:val="9"/>
          <w:rFonts w:ascii="Times New Roman" w:cs="Times New Roman" w:hAnsiTheme="majorEastAsia" w:eastAsiaTheme="majorEastAsia"/>
          <w:color w:val="000000"/>
          <w:sz w:val="28"/>
          <w:szCs w:val="28"/>
        </w:rPr>
        <w:t>以甘肃省三大城市的数据为例</w:t>
      </w:r>
      <w:r>
        <w:rPr>
          <w:rStyle w:val="9"/>
          <w:rFonts w:ascii="Times New Roman" w:hAnsi="Times New Roman" w:cs="Times New Roman" w:eastAsiaTheme="majorEastAsia"/>
          <w:color w:val="000000"/>
          <w:sz w:val="28"/>
          <w:szCs w:val="28"/>
        </w:rPr>
        <w:t>”</w:t>
      </w:r>
      <w:r>
        <w:rPr>
          <w:rStyle w:val="9"/>
          <w:rFonts w:ascii="Times New Roman" w:cs="Times New Roman" w:hAnsiTheme="majorEastAsia" w:eastAsiaTheme="majorEastAsia"/>
          <w:color w:val="000000"/>
          <w:sz w:val="28"/>
          <w:szCs w:val="28"/>
        </w:rPr>
        <w:t>在于</w:t>
      </w:r>
      <w:r>
        <w:rPr>
          <w:rStyle w:val="9"/>
          <w:rFonts w:ascii="Times New Roman" w:hAnsi="Times New Roman" w:cs="Times New Roman" w:eastAsiaTheme="majorEastAsia"/>
          <w:color w:val="000000"/>
          <w:sz w:val="28"/>
          <w:szCs w:val="28"/>
        </w:rPr>
        <w:t>2015</w:t>
      </w:r>
      <w:r>
        <w:rPr>
          <w:rStyle w:val="9"/>
          <w:rFonts w:ascii="Times New Roman" w:cs="Times New Roman" w:hAnsiTheme="majorEastAsia" w:eastAsiaTheme="majorEastAsia"/>
          <w:color w:val="000000"/>
          <w:sz w:val="28"/>
          <w:szCs w:val="28"/>
        </w:rPr>
        <w:t>年度获得第二届全国应用统计案例大赛二等奖基础上，于</w:t>
      </w:r>
      <w:r>
        <w:rPr>
          <w:rStyle w:val="9"/>
          <w:rFonts w:ascii="Times New Roman" w:hAnsi="Times New Roman" w:cs="Times New Roman" w:eastAsiaTheme="majorEastAsia"/>
          <w:color w:val="000000"/>
          <w:sz w:val="28"/>
          <w:szCs w:val="28"/>
        </w:rPr>
        <w:t>2020</w:t>
      </w:r>
      <w:r>
        <w:rPr>
          <w:rStyle w:val="9"/>
          <w:rFonts w:ascii="Times New Roman" w:cs="Times New Roman" w:hAnsiTheme="majorEastAsia" w:eastAsiaTheme="majorEastAsia"/>
          <w:color w:val="000000"/>
          <w:sz w:val="28"/>
          <w:szCs w:val="28"/>
        </w:rPr>
        <w:t>年度被全国应用统计专业学位教育教学案例库正式收录。</w:t>
      </w:r>
    </w:p>
    <w:p>
      <w:pPr>
        <w:spacing w:line="560" w:lineRule="exact"/>
        <w:ind w:firstLine="562" w:firstLineChars="200"/>
        <w:jc w:val="left"/>
        <w:rPr>
          <w:rStyle w:val="9"/>
          <w:rFonts w:ascii="Times New Roman" w:hAnsi="Times New Roman" w:cs="Times New Roman" w:eastAsiaTheme="majorEastAsia"/>
          <w:b/>
          <w:sz w:val="28"/>
          <w:szCs w:val="28"/>
        </w:rPr>
      </w:pPr>
      <w:r>
        <w:rPr>
          <w:rStyle w:val="9"/>
          <w:rFonts w:ascii="Times New Roman" w:hAnsi="Times New Roman" w:cs="Times New Roman" w:eastAsiaTheme="majorEastAsia"/>
          <w:b/>
          <w:sz w:val="28"/>
          <w:szCs w:val="28"/>
        </w:rPr>
        <w:t>5.</w:t>
      </w:r>
      <w:r>
        <w:rPr>
          <w:rFonts w:ascii="Times New Roman" w:hAnsi="Times New Roman" w:cs="Times New Roman" w:eastAsiaTheme="majorEastAsia"/>
          <w:color w:val="000000"/>
          <w:kern w:val="0"/>
          <w:sz w:val="28"/>
          <w:szCs w:val="28"/>
        </w:rPr>
        <w:t xml:space="preserve"> </w:t>
      </w:r>
      <w:r>
        <w:rPr>
          <w:rStyle w:val="9"/>
          <w:rFonts w:ascii="Times New Roman" w:cs="Times New Roman" w:hAnsiTheme="majorEastAsia" w:eastAsiaTheme="majorEastAsia"/>
          <w:b/>
          <w:sz w:val="28"/>
          <w:szCs w:val="28"/>
        </w:rPr>
        <w:t>学术交流情况</w:t>
      </w:r>
    </w:p>
    <w:p>
      <w:pPr>
        <w:spacing w:line="560" w:lineRule="exact"/>
        <w:ind w:firstLine="560" w:firstLineChars="200"/>
        <w:jc w:val="left"/>
        <w:rPr>
          <w:rStyle w:val="9"/>
          <w:rFonts w:ascii="Times New Roman" w:hAnsi="Times New Roman" w:cs="Times New Roman" w:eastAsiaTheme="majorEastAsia"/>
          <w:sz w:val="28"/>
          <w:szCs w:val="28"/>
        </w:rPr>
      </w:pPr>
      <w:r>
        <w:rPr>
          <w:rStyle w:val="9"/>
          <w:rFonts w:ascii="Times New Roman" w:cs="Times New Roman" w:hAnsiTheme="majorEastAsia" w:eastAsiaTheme="majorEastAsia"/>
          <w:sz w:val="28"/>
          <w:szCs w:val="28"/>
        </w:rPr>
        <w:t>依托数学与统计学院，本授权点积极推进各类学术交流活动</w:t>
      </w:r>
      <w:r>
        <w:rPr>
          <w:rStyle w:val="9"/>
          <w:rFonts w:hint="eastAsia" w:ascii="Times New Roman" w:cs="Times New Roman" w:hAnsiTheme="majorEastAsia" w:eastAsiaTheme="majorEastAsia"/>
          <w:sz w:val="28"/>
          <w:szCs w:val="28"/>
        </w:rPr>
        <w:t>。</w:t>
      </w:r>
      <w:r>
        <w:rPr>
          <w:rStyle w:val="9"/>
          <w:rFonts w:ascii="Times New Roman" w:hAnsi="Times New Roman" w:cs="Times New Roman" w:eastAsiaTheme="majorEastAsia"/>
          <w:sz w:val="28"/>
          <w:szCs w:val="28"/>
        </w:rPr>
        <w:t>2020</w:t>
      </w:r>
      <w:r>
        <w:rPr>
          <w:rStyle w:val="9"/>
          <w:rFonts w:ascii="Times New Roman" w:cs="Times New Roman" w:hAnsiTheme="majorEastAsia" w:eastAsiaTheme="majorEastAsia"/>
          <w:sz w:val="28"/>
          <w:szCs w:val="28"/>
        </w:rPr>
        <w:t>年度共邀请</w:t>
      </w:r>
      <w:r>
        <w:rPr>
          <w:rStyle w:val="9"/>
          <w:rFonts w:ascii="Times New Roman" w:hAnsi="Times New Roman" w:cs="Times New Roman" w:eastAsiaTheme="majorEastAsia"/>
          <w:sz w:val="28"/>
          <w:szCs w:val="28"/>
        </w:rPr>
        <w:t>70</w:t>
      </w:r>
      <w:r>
        <w:rPr>
          <w:rStyle w:val="9"/>
          <w:rFonts w:ascii="Times New Roman" w:cs="Times New Roman" w:hAnsiTheme="majorEastAsia" w:eastAsiaTheme="majorEastAsia"/>
          <w:sz w:val="28"/>
          <w:szCs w:val="28"/>
        </w:rPr>
        <w:t>余名国内外专家学者举行线上线下讲座</w:t>
      </w:r>
      <w:r>
        <w:rPr>
          <w:rStyle w:val="9"/>
          <w:rFonts w:hint="eastAsia" w:ascii="Times New Roman" w:cs="Times New Roman" w:hAnsiTheme="majorEastAsia" w:eastAsiaTheme="majorEastAsia"/>
          <w:sz w:val="28"/>
          <w:szCs w:val="28"/>
        </w:rPr>
        <w:t>，</w:t>
      </w:r>
      <w:r>
        <w:rPr>
          <w:rStyle w:val="9"/>
          <w:rFonts w:ascii="Times New Roman" w:cs="Times New Roman" w:hAnsiTheme="majorEastAsia" w:eastAsiaTheme="majorEastAsia"/>
          <w:sz w:val="28"/>
          <w:szCs w:val="28"/>
        </w:rPr>
        <w:t>联合统计学第二课堂</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狗熊会</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举办系列科研讲座及专业技能培训，极大地提高了研究生的科学研究水平。</w:t>
      </w:r>
    </w:p>
    <w:p>
      <w:pPr>
        <w:spacing w:beforeLines="50" w:line="360" w:lineRule="auto"/>
        <w:ind w:firstLine="643" w:firstLineChars="200"/>
        <w:rPr>
          <w:rStyle w:val="9"/>
          <w:rFonts w:ascii="Times New Roman" w:hAnsi="Times New Roman" w:cs="Times New Roman" w:eastAsiaTheme="majorEastAsia"/>
          <w:szCs w:val="32"/>
        </w:rPr>
      </w:pPr>
      <w:r>
        <w:rPr>
          <w:rStyle w:val="9"/>
          <w:rFonts w:ascii="Times New Roman" w:hAnsi="Times New Roman" w:cs="Times New Roman" w:eastAsiaTheme="majorEastAsia"/>
          <w:b/>
          <w:szCs w:val="32"/>
        </w:rPr>
        <w:t>6.</w:t>
      </w:r>
      <w:r>
        <w:rPr>
          <w:rFonts w:ascii="Times New Roman" w:hAnsi="Times New Roman" w:cs="Times New Roman" w:eastAsiaTheme="majorEastAsia"/>
          <w:b/>
          <w:bCs/>
          <w:sz w:val="24"/>
        </w:rPr>
        <w:t xml:space="preserve"> </w:t>
      </w:r>
      <w:r>
        <w:rPr>
          <w:rStyle w:val="9"/>
          <w:rFonts w:ascii="Times New Roman" w:cs="Times New Roman" w:hAnsiTheme="majorEastAsia" w:eastAsiaTheme="majorEastAsia"/>
          <w:b/>
          <w:bCs/>
          <w:sz w:val="28"/>
          <w:szCs w:val="28"/>
        </w:rPr>
        <w:t>研究生奖助情况</w:t>
      </w:r>
    </w:p>
    <w:p>
      <w:pPr>
        <w:spacing w:line="360" w:lineRule="auto"/>
        <w:ind w:firstLine="560" w:firstLineChars="200"/>
        <w:rPr>
          <w:rStyle w:val="9"/>
          <w:rFonts w:hint="eastAsia" w:ascii="Times New Roman" w:hAnsi="Times New Roman" w:cs="Times New Roman" w:eastAsiaTheme="majorEastAsia"/>
          <w:sz w:val="28"/>
          <w:szCs w:val="28"/>
        </w:rPr>
      </w:pPr>
      <w:r>
        <w:rPr>
          <w:rStyle w:val="9"/>
          <w:rFonts w:ascii="Times New Roman" w:cs="Times New Roman" w:hAnsiTheme="majorEastAsia" w:eastAsiaTheme="majorEastAsia"/>
          <w:sz w:val="28"/>
          <w:szCs w:val="28"/>
        </w:rPr>
        <w:t>学业奖学金一等奖</w:t>
      </w:r>
      <w:r>
        <w:rPr>
          <w:rStyle w:val="9"/>
          <w:rFonts w:ascii="Times New Roman" w:hAnsi="Times New Roman" w:cs="Times New Roman" w:eastAsiaTheme="majorEastAsia"/>
          <w:sz w:val="28"/>
          <w:szCs w:val="28"/>
        </w:rPr>
        <w:t>27</w:t>
      </w:r>
      <w:r>
        <w:rPr>
          <w:rStyle w:val="9"/>
          <w:rFonts w:ascii="Times New Roman" w:cs="Times New Roman" w:hAnsiTheme="majorEastAsia" w:eastAsiaTheme="majorEastAsia"/>
          <w:sz w:val="28"/>
          <w:szCs w:val="28"/>
        </w:rPr>
        <w:t>人；学业奖学金二等奖</w:t>
      </w:r>
      <w:r>
        <w:rPr>
          <w:rStyle w:val="9"/>
          <w:rFonts w:ascii="Times New Roman" w:hAnsi="Times New Roman" w:cs="Times New Roman" w:eastAsiaTheme="majorEastAsia"/>
          <w:sz w:val="28"/>
          <w:szCs w:val="28"/>
        </w:rPr>
        <w:t>57</w:t>
      </w:r>
      <w:r>
        <w:rPr>
          <w:rStyle w:val="9"/>
          <w:rFonts w:ascii="Times New Roman" w:cs="Times New Roman" w:hAnsiTheme="majorEastAsia" w:eastAsiaTheme="majorEastAsia"/>
          <w:sz w:val="28"/>
          <w:szCs w:val="28"/>
        </w:rPr>
        <w:t>人；学业奖学金三等奖</w:t>
      </w:r>
      <w:r>
        <w:rPr>
          <w:rStyle w:val="9"/>
          <w:rFonts w:ascii="Times New Roman" w:hAnsi="Times New Roman" w:cs="Times New Roman" w:eastAsiaTheme="majorEastAsia"/>
          <w:sz w:val="28"/>
          <w:szCs w:val="28"/>
        </w:rPr>
        <w:t>74</w:t>
      </w:r>
      <w:r>
        <w:rPr>
          <w:rStyle w:val="9"/>
          <w:rFonts w:ascii="Times New Roman" w:cs="Times New Roman" w:hAnsiTheme="majorEastAsia" w:eastAsiaTheme="majorEastAsia"/>
          <w:sz w:val="28"/>
          <w:szCs w:val="28"/>
        </w:rPr>
        <w:t>人；</w:t>
      </w:r>
      <w:r>
        <w:rPr>
          <w:rStyle w:val="9"/>
          <w:rFonts w:ascii="Times New Roman" w:hAnsi="Times New Roman" w:cs="Times New Roman" w:eastAsiaTheme="majorEastAsia"/>
          <w:sz w:val="28"/>
          <w:szCs w:val="28"/>
        </w:rPr>
        <w:t>2</w:t>
      </w:r>
      <w:r>
        <w:rPr>
          <w:rStyle w:val="9"/>
          <w:rFonts w:ascii="Times New Roman" w:cs="Times New Roman" w:hAnsiTheme="majorEastAsia" w:eastAsiaTheme="majorEastAsia"/>
          <w:sz w:val="28"/>
          <w:szCs w:val="28"/>
        </w:rPr>
        <w:t>人获评国家奖学金、</w:t>
      </w:r>
      <w:r>
        <w:rPr>
          <w:rStyle w:val="9"/>
          <w:rFonts w:ascii="Times New Roman" w:hAnsi="Times New Roman" w:cs="Times New Roman" w:eastAsiaTheme="majorEastAsia"/>
          <w:sz w:val="28"/>
          <w:szCs w:val="28"/>
        </w:rPr>
        <w:t>1</w:t>
      </w:r>
      <w:r>
        <w:rPr>
          <w:rStyle w:val="9"/>
          <w:rFonts w:ascii="Times New Roman" w:cs="Times New Roman" w:hAnsiTheme="majorEastAsia" w:eastAsiaTheme="majorEastAsia"/>
          <w:sz w:val="28"/>
          <w:szCs w:val="28"/>
        </w:rPr>
        <w:t>人获评隆基奖学金、</w:t>
      </w:r>
      <w:r>
        <w:rPr>
          <w:rStyle w:val="9"/>
          <w:rFonts w:ascii="Times New Roman" w:hAnsi="Times New Roman" w:cs="Times New Roman" w:eastAsiaTheme="majorEastAsia"/>
          <w:sz w:val="28"/>
          <w:szCs w:val="28"/>
        </w:rPr>
        <w:t>1</w:t>
      </w:r>
      <w:r>
        <w:rPr>
          <w:rStyle w:val="9"/>
          <w:rFonts w:ascii="Times New Roman" w:cs="Times New Roman" w:hAnsiTheme="majorEastAsia" w:eastAsiaTheme="majorEastAsia"/>
          <w:sz w:val="28"/>
          <w:szCs w:val="28"/>
        </w:rPr>
        <w:t>人获评获得刘冰奖学金。</w:t>
      </w:r>
    </w:p>
    <w:p>
      <w:pPr>
        <w:spacing w:line="360" w:lineRule="auto"/>
        <w:ind w:firstLine="560" w:firstLineChars="200"/>
        <w:rPr>
          <w:rStyle w:val="9"/>
          <w:rFonts w:ascii="Times New Roman" w:hAnsi="Times New Roman" w:cs="Times New Roman" w:eastAsiaTheme="majorEastAsia"/>
          <w:szCs w:val="32"/>
        </w:rPr>
      </w:pPr>
      <w:r>
        <w:rPr>
          <w:rStyle w:val="9"/>
          <w:rFonts w:ascii="Times New Roman" w:hAnsi="Times New Roman" w:cs="Times New Roman" w:eastAsiaTheme="majorEastAsia"/>
          <w:sz w:val="28"/>
          <w:szCs w:val="28"/>
        </w:rPr>
        <w:t>2020</w:t>
      </w:r>
      <w:r>
        <w:rPr>
          <w:rStyle w:val="9"/>
          <w:rFonts w:ascii="Times New Roman" w:cs="Times New Roman" w:hAnsiTheme="majorEastAsia" w:eastAsiaTheme="majorEastAsia"/>
          <w:sz w:val="28"/>
          <w:szCs w:val="28"/>
        </w:rPr>
        <w:t>年度四个团队</w:t>
      </w:r>
      <w:r>
        <w:rPr>
          <w:rStyle w:val="9"/>
          <w:rFonts w:ascii="Times New Roman" w:hAnsi="Times New Roman" w:cs="Times New Roman" w:eastAsiaTheme="majorEastAsia"/>
          <w:sz w:val="28"/>
          <w:szCs w:val="28"/>
        </w:rPr>
        <w:t>12</w:t>
      </w:r>
      <w:r>
        <w:rPr>
          <w:rStyle w:val="9"/>
          <w:rFonts w:ascii="Times New Roman" w:cs="Times New Roman" w:hAnsiTheme="majorEastAsia" w:eastAsiaTheme="majorEastAsia"/>
          <w:sz w:val="28"/>
          <w:szCs w:val="28"/>
        </w:rPr>
        <w:t>人获得</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第四届全国应用统计专业学位研究生教育优秀案例</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三等奖；</w:t>
      </w:r>
      <w:r>
        <w:rPr>
          <w:rStyle w:val="9"/>
          <w:rFonts w:ascii="Times New Roman" w:hAnsi="Times New Roman" w:cs="Times New Roman" w:eastAsiaTheme="majorEastAsia"/>
          <w:sz w:val="28"/>
          <w:szCs w:val="28"/>
        </w:rPr>
        <w:t>3</w:t>
      </w:r>
      <w:r>
        <w:rPr>
          <w:rStyle w:val="9"/>
          <w:rFonts w:ascii="Times New Roman" w:cs="Times New Roman" w:hAnsiTheme="majorEastAsia" w:eastAsiaTheme="majorEastAsia"/>
          <w:sz w:val="28"/>
          <w:szCs w:val="28"/>
        </w:rPr>
        <w:t>位指导教师获</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第四届全国应用统计专业学位研究生教育教学成果奖</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三等奖。</w:t>
      </w:r>
    </w:p>
    <w:p>
      <w:pPr>
        <w:widowControl/>
        <w:spacing w:line="560" w:lineRule="exact"/>
        <w:textAlignment w:val="baseline"/>
        <w:rPr>
          <w:rStyle w:val="9"/>
          <w:rFonts w:ascii="Times New Roman" w:hAnsi="Times New Roman" w:cs="Times New Roman" w:eastAsiaTheme="majorEastAsia"/>
          <w:b/>
          <w:szCs w:val="32"/>
        </w:rPr>
      </w:pPr>
      <w:r>
        <w:rPr>
          <w:rStyle w:val="9"/>
          <w:rFonts w:ascii="Times New Roman" w:hAnsi="Times New Roman" w:cs="Times New Roman" w:eastAsiaTheme="majorEastAsia"/>
          <w:b/>
          <w:szCs w:val="32"/>
        </w:rPr>
        <w:t xml:space="preserve">    </w:t>
      </w:r>
      <w:r>
        <w:rPr>
          <w:rStyle w:val="9"/>
          <w:rFonts w:ascii="Times New Roman" w:cs="Times New Roman" w:hAnsiTheme="majorEastAsia" w:eastAsiaTheme="majorEastAsia"/>
          <w:b/>
          <w:szCs w:val="32"/>
        </w:rPr>
        <w:t>四、研究生教育改革情况</w:t>
      </w:r>
    </w:p>
    <w:p>
      <w:pPr>
        <w:pStyle w:val="2"/>
        <w:spacing w:line="360" w:lineRule="auto"/>
        <w:ind w:firstLine="562"/>
        <w:rPr>
          <w:rStyle w:val="9"/>
          <w:rFonts w:ascii="Times New Roman" w:hAnsi="Times New Roman" w:cs="Times New Roman" w:eastAsiaTheme="majorEastAsia"/>
          <w:b/>
          <w:bCs/>
          <w:color w:val="auto"/>
          <w:sz w:val="28"/>
          <w:szCs w:val="28"/>
        </w:rPr>
      </w:pPr>
      <w:r>
        <w:rPr>
          <w:rStyle w:val="9"/>
          <w:rFonts w:ascii="Times New Roman" w:hAnsi="Times New Roman" w:cs="Times New Roman" w:eastAsiaTheme="majorEastAsia"/>
          <w:b/>
          <w:bCs/>
          <w:color w:val="auto"/>
          <w:sz w:val="28"/>
          <w:szCs w:val="28"/>
        </w:rPr>
        <w:t xml:space="preserve">1. </w:t>
      </w:r>
      <w:r>
        <w:rPr>
          <w:rStyle w:val="9"/>
          <w:rFonts w:ascii="Times New Roman" w:cs="Times New Roman" w:hAnsiTheme="majorEastAsia" w:eastAsiaTheme="majorEastAsia"/>
          <w:b/>
          <w:bCs/>
          <w:color w:val="auto"/>
          <w:sz w:val="28"/>
          <w:szCs w:val="28"/>
        </w:rPr>
        <w:t>人才培养</w:t>
      </w:r>
    </w:p>
    <w:p>
      <w:pPr>
        <w:spacing w:line="360" w:lineRule="auto"/>
        <w:ind w:firstLine="560" w:firstLineChars="200"/>
        <w:rPr>
          <w:rStyle w:val="9"/>
          <w:rFonts w:ascii="Times New Roman" w:hAnsi="Times New Roman" w:cs="Times New Roman" w:eastAsiaTheme="majorEastAsia"/>
          <w:sz w:val="28"/>
          <w:szCs w:val="28"/>
        </w:rPr>
      </w:pPr>
      <w:r>
        <w:rPr>
          <w:rStyle w:val="9"/>
          <w:rFonts w:ascii="Times New Roman" w:cs="Times New Roman" w:hAnsiTheme="majorEastAsia" w:eastAsiaTheme="majorEastAsia"/>
          <w:sz w:val="28"/>
          <w:szCs w:val="28"/>
        </w:rPr>
        <w:t>本专业学位授权点定位于培养高端应用统计人才，重视实际应用，紧跟国际前沿，对标国家科技领域发展的当下和未来需求。学生积极上进，瞄准世界科技前沿，夯实自己的实践能力，努力成为一流应用统计人才。多年以来，学生积极参加各种高水平校内外实践活动，不断取得对自己职业发展有重要推动作用的奖励和成果。</w:t>
      </w:r>
    </w:p>
    <w:p>
      <w:pPr>
        <w:spacing w:line="360" w:lineRule="auto"/>
        <w:ind w:firstLine="560" w:firstLineChars="200"/>
        <w:rPr>
          <w:rStyle w:val="9"/>
          <w:rFonts w:ascii="Times New Roman" w:hAnsi="Times New Roman" w:cs="Times New Roman" w:eastAsiaTheme="majorEastAsia"/>
          <w:sz w:val="28"/>
          <w:szCs w:val="28"/>
        </w:rPr>
      </w:pPr>
      <w:r>
        <w:rPr>
          <w:rStyle w:val="9"/>
          <w:rFonts w:ascii="Times New Roman" w:hAnsi="Times New Roman" w:cs="Times New Roman" w:eastAsiaTheme="majorEastAsia"/>
          <w:sz w:val="28"/>
          <w:szCs w:val="28"/>
        </w:rPr>
        <w:t>2020</w:t>
      </w:r>
      <w:r>
        <w:rPr>
          <w:rStyle w:val="9"/>
          <w:rFonts w:ascii="Times New Roman" w:cs="Times New Roman" w:hAnsiTheme="majorEastAsia" w:eastAsiaTheme="majorEastAsia"/>
          <w:sz w:val="28"/>
          <w:szCs w:val="28"/>
        </w:rPr>
        <w:t>年度，继续组织学生积极参加国内外高水平统计建模与数据分析竞赛，有</w:t>
      </w:r>
      <w:r>
        <w:rPr>
          <w:rStyle w:val="9"/>
          <w:rFonts w:ascii="Times New Roman" w:hAnsi="Times New Roman" w:cs="Times New Roman" w:eastAsiaTheme="majorEastAsia"/>
          <w:sz w:val="28"/>
          <w:szCs w:val="28"/>
        </w:rPr>
        <w:t>20</w:t>
      </w:r>
      <w:r>
        <w:rPr>
          <w:rStyle w:val="9"/>
          <w:rFonts w:ascii="Times New Roman" w:cs="Times New Roman" w:hAnsiTheme="majorEastAsia" w:eastAsiaTheme="majorEastAsia"/>
          <w:sz w:val="28"/>
          <w:szCs w:val="28"/>
        </w:rPr>
        <w:t>多人次在</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华为杯中国研究生数学建模竞赛</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华为</w:t>
      </w:r>
      <w:r>
        <w:rPr>
          <w:rStyle w:val="9"/>
          <w:rFonts w:ascii="Times New Roman" w:hAnsi="Times New Roman" w:cs="Times New Roman" w:eastAsiaTheme="majorEastAsia"/>
          <w:sz w:val="28"/>
          <w:szCs w:val="28"/>
        </w:rPr>
        <w:t>DIGIX</w:t>
      </w:r>
      <w:r>
        <w:rPr>
          <w:rStyle w:val="9"/>
          <w:rFonts w:ascii="Times New Roman" w:cs="Times New Roman" w:hAnsiTheme="majorEastAsia" w:eastAsiaTheme="majorEastAsia"/>
          <w:sz w:val="28"/>
          <w:szCs w:val="28"/>
        </w:rPr>
        <w:t>算法精英大赛</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中国银联高校极客挑战赛数据建模赛道</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w:t>
      </w:r>
      <w:r>
        <w:rPr>
          <w:rStyle w:val="9"/>
          <w:rFonts w:ascii="Times New Roman" w:hAnsi="Times New Roman" w:cs="Times New Roman" w:eastAsiaTheme="majorEastAsia"/>
          <w:sz w:val="28"/>
          <w:szCs w:val="28"/>
        </w:rPr>
        <w:t>“INSPEC</w:t>
      </w:r>
      <w:r>
        <w:rPr>
          <w:rStyle w:val="9"/>
          <w:rFonts w:ascii="Times New Roman" w:cs="Times New Roman" w:hAnsiTheme="majorEastAsia" w:eastAsiaTheme="majorEastAsia"/>
          <w:sz w:val="28"/>
          <w:szCs w:val="28"/>
        </w:rPr>
        <w:t>工业大数据质量赛</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和</w:t>
      </w:r>
      <w:r>
        <w:rPr>
          <w:rStyle w:val="9"/>
          <w:rFonts w:ascii="Times New Roman" w:hAnsi="Times New Roman" w:cs="Times New Roman" w:eastAsiaTheme="majorEastAsia"/>
          <w:sz w:val="28"/>
          <w:szCs w:val="28"/>
        </w:rPr>
        <w:t>“Google Quest Q&amp;A Labeling”</w:t>
      </w:r>
      <w:r>
        <w:rPr>
          <w:rStyle w:val="9"/>
          <w:rFonts w:ascii="Times New Roman" w:cs="Times New Roman" w:hAnsiTheme="majorEastAsia" w:eastAsiaTheme="majorEastAsia"/>
          <w:sz w:val="28"/>
          <w:szCs w:val="28"/>
        </w:rPr>
        <w:t>等国内外各类重大建模竞赛中获奖，充分锻炼了自身的专业水平；同时绝大部分学生积极参与导师国家基金或企事业单位横向课题，特别地，在基于大数据智能的医学多源数据辅助诊疗，甘肃省大气污染防治，金融信贷产品风险预测与防范，低碳减排系统开发等方面取得了突破性进展。</w:t>
      </w:r>
    </w:p>
    <w:p>
      <w:pPr>
        <w:spacing w:line="360" w:lineRule="auto"/>
        <w:ind w:firstLine="560" w:firstLineChars="200"/>
        <w:rPr>
          <w:rFonts w:ascii="Times New Roman" w:hAnsi="Times New Roman" w:cs="Times New Roman" w:eastAsiaTheme="majorEastAsia"/>
          <w:sz w:val="28"/>
          <w:szCs w:val="28"/>
        </w:rPr>
      </w:pPr>
      <w:r>
        <w:rPr>
          <w:rStyle w:val="9"/>
          <w:rFonts w:ascii="Times New Roman" w:cs="Times New Roman" w:hAnsiTheme="majorEastAsia" w:eastAsiaTheme="majorEastAsia"/>
          <w:sz w:val="28"/>
          <w:szCs w:val="28"/>
        </w:rPr>
        <w:t>通过项目训练需求进而衍生出来的理论方法更新也是我们关注的焦点，部分成果已发表于相关领域重要期刊。结合学生兴趣和应用需求，积极鼓励学生考取各类资格证书，</w:t>
      </w:r>
      <w:r>
        <w:rPr>
          <w:rStyle w:val="9"/>
          <w:rFonts w:ascii="Times New Roman" w:hAnsi="Times New Roman" w:cs="Times New Roman" w:eastAsiaTheme="majorEastAsia"/>
          <w:sz w:val="28"/>
          <w:szCs w:val="28"/>
        </w:rPr>
        <w:t>2020</w:t>
      </w:r>
      <w:r>
        <w:rPr>
          <w:rStyle w:val="9"/>
          <w:rFonts w:ascii="Times New Roman" w:cs="Times New Roman" w:hAnsiTheme="majorEastAsia" w:eastAsiaTheme="majorEastAsia"/>
          <w:sz w:val="28"/>
          <w:szCs w:val="28"/>
        </w:rPr>
        <w:t>年度有</w:t>
      </w:r>
      <w:r>
        <w:rPr>
          <w:rStyle w:val="9"/>
          <w:rFonts w:ascii="Times New Roman" w:cs="Times New Roman" w:hAnsiTheme="majorEastAsia" w:eastAsiaTheme="majorEastAsia"/>
          <w:color w:val="000000" w:themeColor="text1"/>
          <w:sz w:val="28"/>
          <w:szCs w:val="28"/>
        </w:rPr>
        <w:t>多</w:t>
      </w:r>
      <w:r>
        <w:rPr>
          <w:rStyle w:val="9"/>
          <w:rFonts w:ascii="Times New Roman" w:cs="Times New Roman" w:hAnsiTheme="majorEastAsia" w:eastAsiaTheme="majorEastAsia"/>
          <w:sz w:val="28"/>
          <w:szCs w:val="28"/>
        </w:rPr>
        <w:t>人考取了证券从业、中国数据分析师、教师、注册会计师等资格证书。</w:t>
      </w:r>
    </w:p>
    <w:p>
      <w:pPr>
        <w:spacing w:line="360" w:lineRule="auto"/>
        <w:ind w:firstLine="200"/>
        <w:rPr>
          <w:rStyle w:val="9"/>
          <w:rFonts w:ascii="Times New Roman" w:hAnsi="Times New Roman" w:cs="Times New Roman" w:eastAsiaTheme="majorEastAsia"/>
          <w:b/>
          <w:bCs/>
          <w:sz w:val="28"/>
          <w:szCs w:val="28"/>
        </w:rPr>
      </w:pPr>
      <w:r>
        <w:rPr>
          <w:rStyle w:val="9"/>
          <w:rFonts w:ascii="Times New Roman" w:hAnsi="Times New Roman" w:cs="Times New Roman" w:eastAsiaTheme="majorEastAsia"/>
          <w:b/>
          <w:bCs/>
          <w:sz w:val="28"/>
          <w:szCs w:val="28"/>
        </w:rPr>
        <w:t xml:space="preserve">    2. </w:t>
      </w:r>
      <w:r>
        <w:rPr>
          <w:rStyle w:val="9"/>
          <w:rFonts w:ascii="Times New Roman" w:cs="Times New Roman" w:hAnsiTheme="majorEastAsia" w:eastAsiaTheme="majorEastAsia"/>
          <w:b/>
          <w:bCs/>
          <w:sz w:val="28"/>
          <w:szCs w:val="28"/>
        </w:rPr>
        <w:t>教师（导师）队伍建设</w:t>
      </w:r>
    </w:p>
    <w:p>
      <w:pPr>
        <w:spacing w:line="360" w:lineRule="auto"/>
        <w:ind w:firstLine="420" w:firstLineChars="150"/>
        <w:rPr>
          <w:rStyle w:val="9"/>
          <w:rFonts w:ascii="Times New Roman" w:hAnsi="Times New Roman" w:cs="Times New Roman" w:eastAsiaTheme="majorEastAsia"/>
          <w:sz w:val="28"/>
          <w:szCs w:val="28"/>
        </w:rPr>
      </w:pPr>
      <w:r>
        <w:rPr>
          <w:rStyle w:val="9"/>
          <w:rFonts w:ascii="Times New Roman" w:cs="Times New Roman" w:hAnsiTheme="majorEastAsia" w:eastAsiaTheme="majorEastAsia"/>
          <w:sz w:val="28"/>
          <w:szCs w:val="28"/>
        </w:rPr>
        <w:t>积极拓展导师队伍，</w:t>
      </w:r>
      <w:r>
        <w:rPr>
          <w:rStyle w:val="9"/>
          <w:rFonts w:ascii="Times New Roman" w:hAnsi="Times New Roman" w:cs="Times New Roman" w:eastAsiaTheme="majorEastAsia"/>
          <w:sz w:val="28"/>
          <w:szCs w:val="28"/>
        </w:rPr>
        <w:t>2020</w:t>
      </w:r>
      <w:r>
        <w:rPr>
          <w:rStyle w:val="9"/>
          <w:rFonts w:ascii="Times New Roman" w:cs="Times New Roman" w:hAnsiTheme="majorEastAsia" w:eastAsiaTheme="majorEastAsia"/>
          <w:sz w:val="28"/>
          <w:szCs w:val="28"/>
        </w:rPr>
        <w:t>年初本专业学位授权点有校内导师总计</w:t>
      </w:r>
      <w:r>
        <w:rPr>
          <w:rStyle w:val="9"/>
          <w:rFonts w:ascii="Times New Roman" w:hAnsi="Times New Roman" w:cs="Times New Roman" w:eastAsiaTheme="majorEastAsia"/>
          <w:sz w:val="28"/>
          <w:szCs w:val="28"/>
        </w:rPr>
        <w:t>29</w:t>
      </w:r>
      <w:r>
        <w:rPr>
          <w:rStyle w:val="9"/>
          <w:rFonts w:ascii="Times New Roman" w:cs="Times New Roman" w:hAnsiTheme="majorEastAsia" w:eastAsiaTheme="majorEastAsia"/>
          <w:sz w:val="28"/>
          <w:szCs w:val="28"/>
        </w:rPr>
        <w:t>名，其中正高级</w:t>
      </w:r>
      <w:r>
        <w:rPr>
          <w:rStyle w:val="9"/>
          <w:rFonts w:ascii="Times New Roman" w:hAnsi="Times New Roman" w:cs="Times New Roman" w:eastAsiaTheme="majorEastAsia"/>
          <w:sz w:val="28"/>
          <w:szCs w:val="28"/>
        </w:rPr>
        <w:t>10</w:t>
      </w:r>
      <w:r>
        <w:rPr>
          <w:rStyle w:val="9"/>
          <w:rFonts w:ascii="Times New Roman" w:cs="Times New Roman" w:hAnsiTheme="majorEastAsia" w:eastAsiaTheme="majorEastAsia"/>
          <w:sz w:val="28"/>
          <w:szCs w:val="28"/>
        </w:rPr>
        <w:t>名，副高级</w:t>
      </w:r>
      <w:r>
        <w:rPr>
          <w:rStyle w:val="9"/>
          <w:rFonts w:ascii="Times New Roman" w:hAnsi="Times New Roman" w:cs="Times New Roman" w:eastAsiaTheme="majorEastAsia"/>
          <w:sz w:val="28"/>
          <w:szCs w:val="28"/>
        </w:rPr>
        <w:t>10</w:t>
      </w:r>
      <w:r>
        <w:rPr>
          <w:rStyle w:val="9"/>
          <w:rFonts w:ascii="Times New Roman" w:cs="Times New Roman" w:hAnsiTheme="majorEastAsia" w:eastAsiaTheme="majorEastAsia"/>
          <w:sz w:val="28"/>
          <w:szCs w:val="28"/>
        </w:rPr>
        <w:t>名，中级</w:t>
      </w:r>
      <w:r>
        <w:rPr>
          <w:rStyle w:val="9"/>
          <w:rFonts w:ascii="Times New Roman" w:hAnsi="Times New Roman" w:cs="Times New Roman" w:eastAsiaTheme="majorEastAsia"/>
          <w:sz w:val="28"/>
          <w:szCs w:val="28"/>
        </w:rPr>
        <w:t>9</w:t>
      </w:r>
      <w:r>
        <w:rPr>
          <w:rStyle w:val="9"/>
          <w:rFonts w:ascii="Times New Roman" w:cs="Times New Roman" w:hAnsiTheme="majorEastAsia" w:eastAsiaTheme="majorEastAsia"/>
          <w:sz w:val="28"/>
          <w:szCs w:val="28"/>
        </w:rPr>
        <w:t>名，都具有博士研究生学位或高级职称，具有高度责任心、丰富的科研经验和主持应用类科研项目的经历。校外导师</w:t>
      </w:r>
      <w:r>
        <w:rPr>
          <w:rStyle w:val="9"/>
          <w:rFonts w:ascii="Times New Roman" w:hAnsi="Times New Roman" w:cs="Times New Roman" w:eastAsiaTheme="majorEastAsia"/>
          <w:sz w:val="28"/>
          <w:szCs w:val="28"/>
        </w:rPr>
        <w:t>43</w:t>
      </w:r>
      <w:r>
        <w:rPr>
          <w:rStyle w:val="9"/>
          <w:rFonts w:ascii="Times New Roman" w:cs="Times New Roman" w:hAnsiTheme="majorEastAsia" w:eastAsiaTheme="majorEastAsia"/>
          <w:sz w:val="28"/>
          <w:szCs w:val="28"/>
        </w:rPr>
        <w:t>名，其中正高级</w:t>
      </w:r>
      <w:r>
        <w:rPr>
          <w:rStyle w:val="9"/>
          <w:rFonts w:ascii="Times New Roman" w:hAnsi="Times New Roman" w:cs="Times New Roman" w:eastAsiaTheme="majorEastAsia"/>
          <w:sz w:val="28"/>
          <w:szCs w:val="28"/>
        </w:rPr>
        <w:t>31</w:t>
      </w:r>
      <w:r>
        <w:rPr>
          <w:rStyle w:val="9"/>
          <w:rFonts w:ascii="Times New Roman" w:cs="Times New Roman" w:hAnsiTheme="majorEastAsia" w:eastAsiaTheme="majorEastAsia"/>
          <w:sz w:val="28"/>
          <w:szCs w:val="28"/>
        </w:rPr>
        <w:t>名，副高级</w:t>
      </w:r>
      <w:r>
        <w:rPr>
          <w:rStyle w:val="9"/>
          <w:rFonts w:ascii="Times New Roman" w:hAnsi="Times New Roman" w:cs="Times New Roman" w:eastAsiaTheme="majorEastAsia"/>
          <w:sz w:val="28"/>
          <w:szCs w:val="28"/>
        </w:rPr>
        <w:t>12</w:t>
      </w:r>
      <w:r>
        <w:rPr>
          <w:rStyle w:val="9"/>
          <w:rFonts w:ascii="Times New Roman" w:cs="Times New Roman" w:hAnsiTheme="majorEastAsia" w:eastAsiaTheme="majorEastAsia"/>
          <w:sz w:val="28"/>
          <w:szCs w:val="28"/>
        </w:rPr>
        <w:t>名，都是具有丰富实际工作经验的行业专家。</w:t>
      </w:r>
    </w:p>
    <w:p>
      <w:pPr>
        <w:spacing w:line="360" w:lineRule="auto"/>
        <w:ind w:firstLine="420" w:firstLineChars="150"/>
        <w:rPr>
          <w:rStyle w:val="9"/>
          <w:rFonts w:ascii="Times New Roman" w:hAnsi="Times New Roman" w:cs="Times New Roman" w:eastAsiaTheme="majorEastAsia"/>
          <w:sz w:val="28"/>
          <w:szCs w:val="28"/>
        </w:rPr>
      </w:pPr>
      <w:r>
        <w:rPr>
          <w:rStyle w:val="9"/>
          <w:rFonts w:ascii="Times New Roman" w:hAnsi="Times New Roman" w:cs="Times New Roman" w:eastAsiaTheme="majorEastAsia"/>
          <w:sz w:val="28"/>
          <w:szCs w:val="28"/>
        </w:rPr>
        <w:t>2020</w:t>
      </w:r>
      <w:r>
        <w:rPr>
          <w:rStyle w:val="9"/>
          <w:rFonts w:ascii="Times New Roman" w:cs="Times New Roman" w:hAnsiTheme="majorEastAsia" w:eastAsiaTheme="majorEastAsia"/>
          <w:sz w:val="28"/>
          <w:szCs w:val="28"/>
        </w:rPr>
        <w:t>年新增校内导师</w:t>
      </w:r>
      <w:r>
        <w:rPr>
          <w:rStyle w:val="9"/>
          <w:rFonts w:ascii="Times New Roman" w:hAnsi="Times New Roman" w:cs="Times New Roman" w:eastAsiaTheme="majorEastAsia"/>
          <w:sz w:val="28"/>
          <w:szCs w:val="28"/>
        </w:rPr>
        <w:t>5</w:t>
      </w:r>
      <w:r>
        <w:rPr>
          <w:rStyle w:val="9"/>
          <w:rFonts w:ascii="Times New Roman" w:cs="Times New Roman" w:hAnsiTheme="majorEastAsia" w:eastAsiaTheme="majorEastAsia"/>
          <w:sz w:val="28"/>
          <w:szCs w:val="28"/>
        </w:rPr>
        <w:t>名，其中教授职称</w:t>
      </w:r>
      <w:r>
        <w:rPr>
          <w:rStyle w:val="9"/>
          <w:rFonts w:ascii="Times New Roman" w:hAnsi="Times New Roman" w:cs="Times New Roman" w:eastAsiaTheme="majorEastAsia"/>
          <w:sz w:val="28"/>
          <w:szCs w:val="28"/>
        </w:rPr>
        <w:t>3</w:t>
      </w:r>
      <w:r>
        <w:rPr>
          <w:rStyle w:val="9"/>
          <w:rFonts w:ascii="Times New Roman" w:cs="Times New Roman" w:hAnsiTheme="majorEastAsia" w:eastAsiaTheme="majorEastAsia"/>
          <w:sz w:val="28"/>
          <w:szCs w:val="28"/>
        </w:rPr>
        <w:t>人，副教授和讲师各</w:t>
      </w:r>
      <w:r>
        <w:rPr>
          <w:rStyle w:val="9"/>
          <w:rFonts w:ascii="Times New Roman" w:hAnsi="Times New Roman" w:cs="Times New Roman" w:eastAsiaTheme="majorEastAsia"/>
          <w:sz w:val="28"/>
          <w:szCs w:val="28"/>
        </w:rPr>
        <w:t>1</w:t>
      </w:r>
      <w:r>
        <w:rPr>
          <w:rStyle w:val="9"/>
          <w:rFonts w:ascii="Times New Roman" w:cs="Times New Roman" w:hAnsiTheme="majorEastAsia" w:eastAsiaTheme="majorEastAsia"/>
          <w:sz w:val="28"/>
          <w:szCs w:val="28"/>
        </w:rPr>
        <w:t>人。截止</w:t>
      </w:r>
      <w:r>
        <w:rPr>
          <w:rStyle w:val="9"/>
          <w:rFonts w:ascii="Times New Roman" w:hAnsi="Times New Roman" w:cs="Times New Roman" w:eastAsiaTheme="majorEastAsia"/>
          <w:sz w:val="28"/>
          <w:szCs w:val="28"/>
        </w:rPr>
        <w:t>2020</w:t>
      </w:r>
      <w:r>
        <w:rPr>
          <w:rStyle w:val="9"/>
          <w:rFonts w:ascii="Times New Roman" w:cs="Times New Roman" w:hAnsiTheme="majorEastAsia" w:eastAsiaTheme="majorEastAsia"/>
          <w:sz w:val="28"/>
          <w:szCs w:val="28"/>
        </w:rPr>
        <w:t>年底共有专任导师</w:t>
      </w:r>
      <w:r>
        <w:rPr>
          <w:rStyle w:val="9"/>
          <w:rFonts w:ascii="Times New Roman" w:hAnsi="Times New Roman" w:cs="Times New Roman" w:eastAsiaTheme="majorEastAsia"/>
          <w:sz w:val="28"/>
          <w:szCs w:val="28"/>
        </w:rPr>
        <w:t>33</w:t>
      </w:r>
      <w:r>
        <w:rPr>
          <w:rStyle w:val="9"/>
          <w:rFonts w:ascii="Times New Roman" w:cs="Times New Roman" w:hAnsiTheme="majorEastAsia" w:eastAsiaTheme="majorEastAsia"/>
          <w:sz w:val="28"/>
          <w:szCs w:val="28"/>
        </w:rPr>
        <w:t>人。</w:t>
      </w:r>
    </w:p>
    <w:p>
      <w:pPr>
        <w:spacing w:line="360" w:lineRule="auto"/>
        <w:ind w:firstLine="200"/>
        <w:rPr>
          <w:rStyle w:val="9"/>
          <w:rFonts w:ascii="Times New Roman" w:hAnsi="Times New Roman" w:cs="Times New Roman" w:eastAsiaTheme="majorEastAsia"/>
          <w:b/>
          <w:bCs/>
          <w:sz w:val="28"/>
          <w:szCs w:val="28"/>
        </w:rPr>
      </w:pPr>
      <w:r>
        <w:rPr>
          <w:rStyle w:val="9"/>
          <w:rFonts w:ascii="Times New Roman" w:hAnsi="Times New Roman" w:cs="Times New Roman" w:eastAsiaTheme="majorEastAsia"/>
          <w:b/>
          <w:bCs/>
          <w:sz w:val="28"/>
          <w:szCs w:val="28"/>
        </w:rPr>
        <w:t xml:space="preserve">    3. </w:t>
      </w:r>
      <w:r>
        <w:rPr>
          <w:rStyle w:val="9"/>
          <w:rFonts w:ascii="Times New Roman" w:cs="Times New Roman" w:hAnsiTheme="majorEastAsia" w:eastAsiaTheme="majorEastAsia"/>
          <w:b/>
          <w:bCs/>
          <w:sz w:val="28"/>
          <w:szCs w:val="28"/>
        </w:rPr>
        <w:t>科学研究</w:t>
      </w:r>
    </w:p>
    <w:p>
      <w:pPr>
        <w:spacing w:line="360" w:lineRule="auto"/>
        <w:ind w:firstLine="560" w:firstLineChars="200"/>
        <w:rPr>
          <w:rStyle w:val="9"/>
          <w:rFonts w:ascii="Times New Roman" w:hAnsi="Times New Roman" w:cs="Times New Roman" w:eastAsiaTheme="majorEastAsia"/>
          <w:sz w:val="28"/>
          <w:szCs w:val="28"/>
        </w:rPr>
      </w:pPr>
      <w:r>
        <w:rPr>
          <w:rStyle w:val="9"/>
          <w:rFonts w:ascii="Times New Roman" w:cs="Times New Roman" w:hAnsiTheme="majorEastAsia" w:eastAsiaTheme="majorEastAsia"/>
          <w:sz w:val="28"/>
          <w:szCs w:val="28"/>
        </w:rPr>
        <w:t>本专业学位授权点长期致力于开展统计专业的应用研究，以发挥统计专业对其他行业与社会经济发展的支撑作用。在个性化精准医疗，大气污空气质量评估与预测，金融风险预测与防范等方面取得了突破性进展。</w:t>
      </w:r>
    </w:p>
    <w:p>
      <w:pPr>
        <w:spacing w:line="360" w:lineRule="auto"/>
        <w:ind w:firstLine="560" w:firstLineChars="200"/>
        <w:rPr>
          <w:rStyle w:val="9"/>
          <w:rFonts w:ascii="Times New Roman" w:hAnsi="Times New Roman" w:cs="Times New Roman" w:eastAsiaTheme="majorEastAsia"/>
          <w:sz w:val="28"/>
          <w:szCs w:val="28"/>
        </w:rPr>
      </w:pPr>
      <w:r>
        <w:rPr>
          <w:rStyle w:val="9"/>
          <w:rFonts w:ascii="Times New Roman" w:cs="Times New Roman" w:hAnsiTheme="majorEastAsia" w:eastAsiaTheme="majorEastAsia"/>
          <w:sz w:val="28"/>
          <w:szCs w:val="28"/>
        </w:rPr>
        <w:t>（</w:t>
      </w:r>
      <w:r>
        <w:rPr>
          <w:rStyle w:val="9"/>
          <w:rFonts w:ascii="Times New Roman" w:hAnsi="Times New Roman" w:cs="Times New Roman" w:eastAsiaTheme="majorEastAsia"/>
          <w:sz w:val="28"/>
          <w:szCs w:val="28"/>
        </w:rPr>
        <w:t>1</w:t>
      </w:r>
      <w:r>
        <w:rPr>
          <w:rStyle w:val="9"/>
          <w:rFonts w:ascii="Times New Roman" w:cs="Times New Roman" w:hAnsiTheme="majorEastAsia" w:eastAsiaTheme="majorEastAsia"/>
          <w:sz w:val="28"/>
          <w:szCs w:val="28"/>
        </w:rPr>
        <w:t>）在医疗数据质量管控及个性化医疗方面，为促进应用统计方法在医学领域的深入应用，与兰州大学第一、第二医院、公共卫生学院、基础医学院横向合作，在基于健康大数据分析的病理归因分析、个性化治疗领域开展了</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基于大数据智能的医学多源数据辅助诊疗</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的开发，通过对脑卒中、帕金森、高原眼病、乳腺癌等病人的电子化病历建档、影像数据识别的研究，开发了基于病人筛查数据的分级诊疗辅助系统及基于多元化检查数据的个性化诊疗系统。</w:t>
      </w:r>
    </w:p>
    <w:p>
      <w:pPr>
        <w:spacing w:line="360" w:lineRule="auto"/>
        <w:ind w:firstLine="560" w:firstLineChars="200"/>
        <w:rPr>
          <w:rStyle w:val="9"/>
          <w:rFonts w:ascii="Times New Roman" w:hAnsi="Times New Roman" w:cs="Times New Roman" w:eastAsiaTheme="majorEastAsia"/>
          <w:sz w:val="28"/>
          <w:szCs w:val="28"/>
        </w:rPr>
      </w:pPr>
      <w:r>
        <w:rPr>
          <w:rStyle w:val="9"/>
          <w:rFonts w:ascii="Times New Roman" w:hAnsi="Times New Roman" w:cs="Times New Roman" w:eastAsiaTheme="majorEastAsia"/>
          <w:sz w:val="28"/>
          <w:szCs w:val="28"/>
        </w:rPr>
        <w:t>(2)</w:t>
      </w:r>
      <w:r>
        <w:rPr>
          <w:rStyle w:val="9"/>
          <w:rFonts w:ascii="Times New Roman" w:cs="Times New Roman" w:hAnsiTheme="majorEastAsia" w:eastAsiaTheme="majorEastAsia"/>
          <w:sz w:val="28"/>
          <w:szCs w:val="28"/>
        </w:rPr>
        <w:t>资源环境管理领域，利用统计机器学习方法和大数据分析技术，依托</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甘肃省大气污染成因与防治对策</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项目，联合省资源环境厅和市气象台联合开发甘肃省大气污染防治大数据支撑平台与辅助管理决策系统，以使省生态环保部门与政府管理机构实时掌握当前污染、气象状况及发展趋势，精准把握污染成因，有效制定空气质量治理方案，做到对全省大气污染的科学、经济、有效治理；依托中国移动公司的</w:t>
      </w:r>
      <w:r>
        <w:rPr>
          <w:rStyle w:val="9"/>
          <w:rFonts w:ascii="Times New Roman" w:hAnsi="Times New Roman" w:cs="Times New Roman" w:eastAsiaTheme="majorEastAsia"/>
          <w:sz w:val="28"/>
          <w:szCs w:val="28"/>
        </w:rPr>
        <w:t>“ ICT</w:t>
      </w:r>
      <w:r>
        <w:rPr>
          <w:rStyle w:val="9"/>
          <w:rFonts w:ascii="Times New Roman" w:cs="Times New Roman" w:hAnsiTheme="majorEastAsia" w:eastAsiaTheme="majorEastAsia"/>
          <w:sz w:val="28"/>
          <w:szCs w:val="28"/>
        </w:rPr>
        <w:t>业务节能贡献及潜力研究</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项目通过对中国移动自排放研究、低碳</w:t>
      </w:r>
      <w:r>
        <w:rPr>
          <w:rStyle w:val="9"/>
          <w:rFonts w:ascii="Times New Roman" w:hAnsi="Times New Roman" w:cs="Times New Roman" w:eastAsiaTheme="majorEastAsia"/>
          <w:sz w:val="28"/>
          <w:szCs w:val="28"/>
        </w:rPr>
        <w:t>ICT</w:t>
      </w:r>
      <w:r>
        <w:rPr>
          <w:rStyle w:val="9"/>
          <w:rFonts w:ascii="Times New Roman" w:cs="Times New Roman" w:hAnsiTheme="majorEastAsia" w:eastAsiaTheme="majorEastAsia"/>
          <w:sz w:val="28"/>
          <w:szCs w:val="28"/>
        </w:rPr>
        <w:t>业务梳理，建立了减排模型和减排控制与预测方法，为企业对相关业务的发展提供了很好的量化决策依据。</w:t>
      </w:r>
    </w:p>
    <w:p>
      <w:pPr>
        <w:spacing w:line="360" w:lineRule="auto"/>
        <w:ind w:firstLine="560" w:firstLineChars="200"/>
        <w:rPr>
          <w:rStyle w:val="9"/>
          <w:rFonts w:ascii="Times New Roman" w:hAnsi="Times New Roman" w:cs="Times New Roman" w:eastAsiaTheme="majorEastAsia"/>
          <w:sz w:val="28"/>
          <w:szCs w:val="28"/>
        </w:rPr>
      </w:pPr>
      <w:r>
        <w:rPr>
          <w:rStyle w:val="9"/>
          <w:rFonts w:ascii="Times New Roman" w:hAnsi="Times New Roman" w:cs="Times New Roman" w:eastAsiaTheme="majorEastAsia"/>
          <w:sz w:val="28"/>
          <w:szCs w:val="28"/>
        </w:rPr>
        <w:t>(3)</w:t>
      </w:r>
      <w:r>
        <w:rPr>
          <w:rStyle w:val="9"/>
          <w:rFonts w:ascii="Times New Roman" w:cs="Times New Roman" w:hAnsiTheme="majorEastAsia" w:eastAsiaTheme="majorEastAsia"/>
          <w:sz w:val="28"/>
          <w:szCs w:val="28"/>
        </w:rPr>
        <w:t>金融防控方面，适应现代金融领域对大数据统计分析需求，本专业团队联合工商银行甘肃省分行及中控科技、君仁控股、润联科技等金融服务公司，以行业需求为导向，在信用卡发放管理、小微企业借贷风险管理、金融产品营销等领域进行了深度合作。项目</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卡休眠业务及备卡业务的机器学习应用研究</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是一个典型实例。优克联公司从事国际互联网接入流量共享卡的服务，精确的用户需求和业务流量预测对公司的发展十分重要，我们建立了相应的统计机器学习模型并应用在该公司的相关业务上，项目的实施为公司带来了较好的经济效益。</w:t>
      </w:r>
    </w:p>
    <w:p>
      <w:pPr>
        <w:spacing w:line="360" w:lineRule="auto"/>
        <w:ind w:firstLine="200"/>
        <w:rPr>
          <w:rStyle w:val="9"/>
          <w:rFonts w:ascii="Times New Roman" w:hAnsi="Times New Roman" w:cs="Times New Roman" w:eastAsiaTheme="majorEastAsia"/>
          <w:b/>
          <w:bCs/>
          <w:sz w:val="28"/>
          <w:szCs w:val="28"/>
        </w:rPr>
      </w:pPr>
      <w:r>
        <w:rPr>
          <w:rStyle w:val="9"/>
          <w:rFonts w:ascii="Times New Roman" w:hAnsi="Times New Roman" w:cs="Times New Roman" w:eastAsiaTheme="majorEastAsia"/>
          <w:b/>
          <w:bCs/>
          <w:sz w:val="28"/>
          <w:szCs w:val="28"/>
        </w:rPr>
        <w:t xml:space="preserve">    4.</w:t>
      </w:r>
      <w:r>
        <w:rPr>
          <w:rStyle w:val="9"/>
          <w:rFonts w:ascii="Times New Roman" w:hAnsi="Times New Roman" w:cs="Times New Roman" w:eastAsiaTheme="majorEastAsia"/>
          <w:sz w:val="28"/>
          <w:szCs w:val="28"/>
        </w:rPr>
        <w:t xml:space="preserve"> </w:t>
      </w:r>
      <w:r>
        <w:rPr>
          <w:rStyle w:val="9"/>
          <w:rFonts w:ascii="Times New Roman" w:cs="Times New Roman" w:hAnsiTheme="majorEastAsia" w:eastAsiaTheme="majorEastAsia"/>
          <w:b/>
          <w:bCs/>
          <w:sz w:val="28"/>
          <w:szCs w:val="28"/>
        </w:rPr>
        <w:t>传承创新优秀文化</w:t>
      </w:r>
    </w:p>
    <w:p>
      <w:pPr>
        <w:widowControl/>
        <w:adjustRightInd w:val="0"/>
        <w:snapToGrid w:val="0"/>
        <w:spacing w:line="360" w:lineRule="auto"/>
        <w:ind w:firstLine="560" w:firstLineChars="200"/>
        <w:jc w:val="left"/>
        <w:rPr>
          <w:rStyle w:val="9"/>
          <w:rFonts w:ascii="Times New Roman" w:hAnsi="Times New Roman" w:cs="Times New Roman" w:eastAsiaTheme="majorEastAsia"/>
          <w:sz w:val="28"/>
          <w:szCs w:val="28"/>
        </w:rPr>
      </w:pPr>
      <w:r>
        <w:rPr>
          <w:rStyle w:val="9"/>
          <w:rFonts w:ascii="Times New Roman" w:cs="Times New Roman" w:hAnsiTheme="majorEastAsia" w:eastAsiaTheme="majorEastAsia"/>
          <w:sz w:val="28"/>
          <w:szCs w:val="28"/>
        </w:rPr>
        <w:t>发挥统计专业优势，以赛促学，以赛促教。</w:t>
      </w:r>
    </w:p>
    <w:p>
      <w:pPr>
        <w:widowControl/>
        <w:adjustRightInd w:val="0"/>
        <w:snapToGrid w:val="0"/>
        <w:spacing w:line="360" w:lineRule="auto"/>
        <w:ind w:firstLine="560" w:firstLineChars="200"/>
        <w:jc w:val="left"/>
        <w:rPr>
          <w:rStyle w:val="9"/>
          <w:rFonts w:ascii="Times New Roman" w:hAnsi="Times New Roman" w:cs="Times New Roman" w:eastAsiaTheme="majorEastAsia"/>
          <w:sz w:val="28"/>
          <w:szCs w:val="28"/>
        </w:rPr>
      </w:pPr>
      <w:r>
        <w:rPr>
          <w:rStyle w:val="9"/>
          <w:rFonts w:ascii="Times New Roman" w:cs="Times New Roman" w:hAnsiTheme="majorEastAsia" w:eastAsiaTheme="majorEastAsia"/>
          <w:sz w:val="28"/>
          <w:szCs w:val="28"/>
        </w:rPr>
        <w:t>本学位点不断支持和鼓励研究生积极参加国内外重要数据建模比赛，在</w:t>
      </w:r>
      <w:r>
        <w:rPr>
          <w:rStyle w:val="9"/>
          <w:rFonts w:ascii="Times New Roman" w:hAnsi="Times New Roman" w:cs="Times New Roman" w:eastAsiaTheme="majorEastAsia"/>
          <w:sz w:val="28"/>
          <w:szCs w:val="28"/>
        </w:rPr>
        <w:t>2020</w:t>
      </w:r>
      <w:r>
        <w:rPr>
          <w:rStyle w:val="9"/>
          <w:rFonts w:ascii="Times New Roman" w:cs="Times New Roman" w:hAnsiTheme="majorEastAsia" w:eastAsiaTheme="majorEastAsia"/>
          <w:sz w:val="28"/>
          <w:szCs w:val="28"/>
        </w:rPr>
        <w:t>年度，有多人次在</w:t>
      </w:r>
      <w:r>
        <w:rPr>
          <w:rStyle w:val="9"/>
          <w:rFonts w:ascii="Times New Roman" w:hAnsi="Times New Roman" w:cs="Times New Roman" w:eastAsiaTheme="majorEastAsia"/>
          <w:sz w:val="28"/>
          <w:szCs w:val="28"/>
        </w:rPr>
        <w:t xml:space="preserve">INSPEC </w:t>
      </w:r>
      <w:r>
        <w:rPr>
          <w:rStyle w:val="9"/>
          <w:rFonts w:ascii="Times New Roman" w:cs="Times New Roman" w:hAnsiTheme="majorEastAsia" w:eastAsiaTheme="majorEastAsia"/>
          <w:sz w:val="28"/>
          <w:szCs w:val="28"/>
        </w:rPr>
        <w:t>工业大数据质量赛，</w:t>
      </w:r>
      <w:r>
        <w:rPr>
          <w:rStyle w:val="9"/>
          <w:rFonts w:ascii="Times New Roman" w:hAnsi="Times New Roman" w:cs="Times New Roman" w:eastAsiaTheme="majorEastAsia"/>
          <w:sz w:val="28"/>
          <w:szCs w:val="28"/>
        </w:rPr>
        <w:t>Google Quest Q&amp;A Labeling</w:t>
      </w:r>
      <w:r>
        <w:rPr>
          <w:rStyle w:val="9"/>
          <w:rFonts w:ascii="Times New Roman" w:cs="Times New Roman" w:hAnsiTheme="majorEastAsia" w:eastAsiaTheme="majorEastAsia"/>
          <w:sz w:val="28"/>
          <w:szCs w:val="28"/>
        </w:rPr>
        <w:t>，智算之道</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人工智能应用挑战赛，</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华为杯</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第十七届中国研究生数学建模竞赛等重要建模比赛中获奖。</w:t>
      </w:r>
    </w:p>
    <w:p>
      <w:pPr>
        <w:spacing w:line="360" w:lineRule="auto"/>
        <w:ind w:firstLine="200"/>
        <w:rPr>
          <w:rStyle w:val="9"/>
          <w:rFonts w:ascii="Times New Roman" w:hAnsi="Times New Roman" w:cs="Times New Roman" w:eastAsiaTheme="majorEastAsia"/>
          <w:b/>
          <w:szCs w:val="32"/>
        </w:rPr>
      </w:pPr>
      <w:r>
        <w:rPr>
          <w:rStyle w:val="9"/>
          <w:rFonts w:ascii="Times New Roman" w:hAnsi="Times New Roman" w:cs="Times New Roman" w:eastAsiaTheme="majorEastAsia"/>
          <w:b/>
          <w:bCs/>
          <w:sz w:val="28"/>
          <w:szCs w:val="28"/>
        </w:rPr>
        <w:t xml:space="preserve">   </w:t>
      </w:r>
      <w:r>
        <w:rPr>
          <w:rStyle w:val="9"/>
          <w:rFonts w:ascii="Times New Roman" w:cs="Times New Roman" w:hAnsiTheme="majorEastAsia" w:eastAsiaTheme="majorEastAsia"/>
          <w:b/>
          <w:szCs w:val="32"/>
        </w:rPr>
        <w:t>五、教育质量评估与分析</w:t>
      </w:r>
    </w:p>
    <w:p>
      <w:pPr>
        <w:spacing w:line="360" w:lineRule="auto"/>
        <w:ind w:firstLine="560" w:firstLineChars="200"/>
        <w:rPr>
          <w:rStyle w:val="9"/>
          <w:rFonts w:ascii="Times New Roman" w:hAnsi="Times New Roman" w:cs="Times New Roman" w:eastAsiaTheme="majorEastAsia"/>
          <w:sz w:val="28"/>
          <w:szCs w:val="28"/>
        </w:rPr>
      </w:pPr>
      <w:r>
        <w:rPr>
          <w:rStyle w:val="9"/>
          <w:rFonts w:ascii="Times New Roman" w:cs="Times New Roman" w:hAnsiTheme="majorEastAsia" w:eastAsiaTheme="majorEastAsia"/>
          <w:sz w:val="28"/>
          <w:szCs w:val="28"/>
        </w:rPr>
        <w:t>经过近十年的发展，本专业学位授权点在人才培养方面形成了以生物与医学统计、金融与风险管理，人工智能与深度学习，数据质量评估与管理</w:t>
      </w:r>
      <w:r>
        <w:rPr>
          <w:rStyle w:val="9"/>
          <w:rFonts w:hint="eastAsia" w:ascii="Times New Roman" w:cs="Times New Roman" w:hAnsiTheme="majorEastAsia" w:eastAsiaTheme="majorEastAsia"/>
          <w:sz w:val="28"/>
          <w:szCs w:val="28"/>
          <w:lang w:val="en-US"/>
        </w:rPr>
        <w:t>等</w:t>
      </w:r>
      <w:r>
        <w:rPr>
          <w:rStyle w:val="9"/>
          <w:rFonts w:ascii="Times New Roman" w:cs="Times New Roman" w:hAnsiTheme="majorEastAsia" w:eastAsiaTheme="majorEastAsia"/>
          <w:sz w:val="28"/>
          <w:szCs w:val="28"/>
        </w:rPr>
        <w:t>为特色的培养方向，充分利用了综合性大学多学科发展优势，通过选聘交叉领域导师与建立校外实践基地，形成了多学院、多行业联合培养的模式。</w:t>
      </w:r>
    </w:p>
    <w:p>
      <w:pPr>
        <w:spacing w:line="360" w:lineRule="auto"/>
        <w:ind w:firstLine="560" w:firstLineChars="200"/>
        <w:rPr>
          <w:rStyle w:val="9"/>
          <w:rFonts w:ascii="Times New Roman" w:hAnsi="Times New Roman" w:cs="Times New Roman" w:eastAsiaTheme="majorEastAsia"/>
          <w:sz w:val="28"/>
          <w:szCs w:val="28"/>
        </w:rPr>
      </w:pPr>
      <w:r>
        <w:rPr>
          <w:rStyle w:val="9"/>
          <w:rFonts w:ascii="Times New Roman" w:cs="Times New Roman" w:hAnsiTheme="majorEastAsia" w:eastAsiaTheme="majorEastAsia"/>
          <w:sz w:val="28"/>
          <w:szCs w:val="28"/>
        </w:rPr>
        <w:t>本授权点学生大多来自国内一流大学推免生、统考生，能迅速掌握专业方向重要知识和实践技能，积极配合导师开展应用性课题研究。</w:t>
      </w:r>
    </w:p>
    <w:p>
      <w:pPr>
        <w:spacing w:line="360" w:lineRule="auto"/>
        <w:ind w:firstLine="560" w:firstLineChars="200"/>
        <w:rPr>
          <w:rStyle w:val="9"/>
          <w:rFonts w:ascii="Times New Roman" w:hAnsi="Times New Roman" w:cs="Times New Roman" w:eastAsiaTheme="majorEastAsia"/>
          <w:sz w:val="28"/>
          <w:szCs w:val="28"/>
        </w:rPr>
      </w:pPr>
      <w:r>
        <w:rPr>
          <w:rStyle w:val="9"/>
          <w:rFonts w:ascii="Times New Roman" w:cs="Times New Roman" w:hAnsiTheme="majorEastAsia" w:eastAsiaTheme="majorEastAsia"/>
          <w:sz w:val="28"/>
          <w:szCs w:val="28"/>
        </w:rPr>
        <w:t>本授权点校内导师都具有博士研究生学位或高级职称，具有高度责任心、丰富的科研经验和主持应用类科研项目的经历，校外导师是具有丰富实际工作经验的行业专家。校内外导师组通过专业交流、数据共享、项目联合攻关等方式，有力促进了学生解决实际问题的能力。授权点积极邀请国内外知名专家来校交流，引领学生了解统计学应用发展动态。</w:t>
      </w:r>
    </w:p>
    <w:p>
      <w:pPr>
        <w:spacing w:line="360" w:lineRule="auto"/>
        <w:ind w:firstLine="560" w:firstLineChars="200"/>
        <w:rPr>
          <w:rStyle w:val="9"/>
          <w:rFonts w:ascii="Times New Roman" w:hAnsi="Times New Roman" w:cs="Times New Roman" w:eastAsiaTheme="majorEastAsia"/>
          <w:sz w:val="28"/>
          <w:szCs w:val="28"/>
        </w:rPr>
      </w:pPr>
      <w:r>
        <w:rPr>
          <w:rStyle w:val="9"/>
          <w:rFonts w:ascii="Times New Roman" w:cs="Times New Roman" w:hAnsiTheme="majorEastAsia" w:eastAsiaTheme="majorEastAsia"/>
          <w:sz w:val="28"/>
          <w:szCs w:val="28"/>
        </w:rPr>
        <w:t>近年来，本授权点师生在兰州市空气质量评测、数值天气预报、低碳减排评估、信用风险评级、产品推送及个性化精准医疗等领域进行了卓有成效的研究，并将相关研究成果转化为特色教学资源。</w:t>
      </w:r>
    </w:p>
    <w:p>
      <w:pPr>
        <w:rPr>
          <w:rFonts w:ascii="Times New Roman" w:hAnsi="Times New Roman" w:cs="Times New Roman" w:eastAsiaTheme="majorEastAsia"/>
          <w:sz w:val="28"/>
          <w:szCs w:val="28"/>
        </w:rPr>
      </w:pPr>
      <w:r>
        <w:rPr>
          <w:rStyle w:val="9"/>
          <w:rFonts w:ascii="Times New Roman" w:hAnsi="Times New Roman" w:cs="Times New Roman" w:eastAsiaTheme="majorEastAsia"/>
          <w:sz w:val="28"/>
          <w:szCs w:val="28"/>
        </w:rPr>
        <w:t xml:space="preserve">   </w:t>
      </w:r>
      <w:r>
        <w:rPr>
          <w:rStyle w:val="9"/>
          <w:rFonts w:hint="eastAsia" w:ascii="Times New Roman" w:hAnsi="Times New Roman" w:cs="Times New Roman" w:eastAsiaTheme="majorEastAsia"/>
          <w:sz w:val="28"/>
          <w:szCs w:val="28"/>
          <w:lang w:val="en-US"/>
        </w:rPr>
        <w:t xml:space="preserve"> </w:t>
      </w:r>
      <w:r>
        <w:rPr>
          <w:rStyle w:val="9"/>
          <w:rFonts w:ascii="Times New Roman" w:cs="Times New Roman" w:hAnsiTheme="majorEastAsia" w:eastAsiaTheme="majorEastAsia"/>
          <w:sz w:val="28"/>
          <w:szCs w:val="28"/>
        </w:rPr>
        <w:t>毕业生中</w:t>
      </w:r>
      <w:r>
        <w:rPr>
          <w:rStyle w:val="9"/>
          <w:rFonts w:ascii="Times New Roman" w:hAnsi="Times New Roman" w:cs="Times New Roman" w:eastAsiaTheme="majorEastAsia"/>
          <w:sz w:val="28"/>
          <w:szCs w:val="28"/>
        </w:rPr>
        <w:t>80%</w:t>
      </w:r>
      <w:r>
        <w:rPr>
          <w:rStyle w:val="9"/>
          <w:rFonts w:ascii="Times New Roman" w:cs="Times New Roman" w:hAnsiTheme="majorEastAsia" w:eastAsiaTheme="majorEastAsia"/>
          <w:sz w:val="28"/>
          <w:szCs w:val="28"/>
        </w:rPr>
        <w:t>以上分布在金融服务、医药卫生、人工智能等领域，从事与大数据统计分析相关工作，契合了本授权点培养目标，赢得了用人单位的一致好评。</w:t>
      </w:r>
    </w:p>
    <w:p>
      <w:pPr>
        <w:pStyle w:val="2"/>
        <w:spacing w:line="560" w:lineRule="exact"/>
        <w:ind w:firstLine="560"/>
        <w:rPr>
          <w:rFonts w:ascii="Times New Roman" w:hAnsi="Times New Roman" w:cs="Times New Roman" w:eastAsiaTheme="majorEastAsia"/>
        </w:rPr>
      </w:pPr>
      <w:r>
        <w:rPr>
          <w:rStyle w:val="9"/>
          <w:rFonts w:ascii="Times New Roman" w:hAnsi="Times New Roman" w:cs="Times New Roman" w:eastAsiaTheme="majorEastAsia"/>
          <w:color w:val="auto"/>
          <w:sz w:val="28"/>
          <w:szCs w:val="28"/>
        </w:rPr>
        <w:t>2020</w:t>
      </w:r>
      <w:r>
        <w:rPr>
          <w:rStyle w:val="9"/>
          <w:rFonts w:ascii="Times New Roman" w:cs="Times New Roman" w:hAnsiTheme="majorEastAsia" w:eastAsiaTheme="majorEastAsia"/>
          <w:color w:val="auto"/>
          <w:sz w:val="28"/>
          <w:szCs w:val="28"/>
        </w:rPr>
        <w:t>年度由国家、甘肃省和学校学位办抽查本学科学位论文均合格</w:t>
      </w:r>
      <w:r>
        <w:rPr>
          <w:rStyle w:val="9"/>
          <w:rFonts w:ascii="Times New Roman" w:cs="Times New Roman" w:hAnsiTheme="majorEastAsia" w:eastAsiaTheme="majorEastAsia"/>
          <w:color w:val="auto"/>
          <w:szCs w:val="32"/>
        </w:rPr>
        <w:t>。</w:t>
      </w:r>
    </w:p>
    <w:p>
      <w:pPr>
        <w:widowControl/>
        <w:snapToGrid w:val="0"/>
        <w:spacing w:line="560" w:lineRule="exact"/>
        <w:ind w:firstLine="643" w:firstLineChars="200"/>
        <w:textAlignment w:val="baseline"/>
        <w:rPr>
          <w:rStyle w:val="9"/>
          <w:rFonts w:ascii="Times New Roman" w:hAnsi="Times New Roman" w:cs="Times New Roman" w:eastAsiaTheme="majorEastAsia"/>
          <w:b/>
          <w:szCs w:val="32"/>
        </w:rPr>
      </w:pPr>
      <w:r>
        <w:rPr>
          <w:rStyle w:val="9"/>
          <w:rFonts w:ascii="Times New Roman" w:cs="Times New Roman" w:hAnsiTheme="majorEastAsia" w:eastAsiaTheme="majorEastAsia"/>
          <w:b/>
          <w:szCs w:val="32"/>
        </w:rPr>
        <w:t>六、</w:t>
      </w:r>
      <w:r>
        <w:rPr>
          <w:rStyle w:val="9"/>
          <w:rFonts w:ascii="Times New Roman" w:cs="Times New Roman" w:hAnsiTheme="majorEastAsia" w:eastAsiaTheme="majorEastAsia"/>
          <w:b/>
          <w:bCs/>
          <w:szCs w:val="32"/>
        </w:rPr>
        <w:t>改进措施</w:t>
      </w:r>
    </w:p>
    <w:p>
      <w:pPr>
        <w:spacing w:line="360" w:lineRule="auto"/>
        <w:ind w:firstLine="560" w:firstLineChars="200"/>
        <w:jc w:val="left"/>
        <w:rPr>
          <w:rStyle w:val="9"/>
          <w:rFonts w:ascii="Times New Roman" w:hAnsi="Times New Roman" w:cs="Times New Roman" w:eastAsiaTheme="majorEastAsia"/>
          <w:sz w:val="28"/>
          <w:szCs w:val="28"/>
        </w:rPr>
      </w:pPr>
      <w:r>
        <w:rPr>
          <w:rStyle w:val="9"/>
          <w:rFonts w:ascii="Times New Roman" w:hAnsi="Times New Roman" w:cs="Times New Roman" w:eastAsiaTheme="majorEastAsia"/>
          <w:sz w:val="28"/>
          <w:szCs w:val="28"/>
        </w:rPr>
        <w:t xml:space="preserve">1. </w:t>
      </w:r>
      <w:r>
        <w:rPr>
          <w:rStyle w:val="9"/>
          <w:rFonts w:ascii="Times New Roman" w:cs="Times New Roman" w:hAnsiTheme="majorEastAsia" w:eastAsiaTheme="majorEastAsia"/>
          <w:sz w:val="28"/>
          <w:szCs w:val="28"/>
        </w:rPr>
        <w:t>进一步优化现有的研究生培养机制，稳步提高研究生培养质量。</w:t>
      </w:r>
    </w:p>
    <w:p>
      <w:pPr>
        <w:spacing w:line="360" w:lineRule="auto"/>
        <w:ind w:firstLine="560" w:firstLineChars="200"/>
        <w:jc w:val="left"/>
        <w:rPr>
          <w:rStyle w:val="9"/>
          <w:rFonts w:ascii="Times New Roman" w:hAnsi="Times New Roman" w:cs="Times New Roman" w:eastAsiaTheme="majorEastAsia"/>
          <w:sz w:val="28"/>
          <w:szCs w:val="28"/>
        </w:rPr>
      </w:pPr>
      <w:r>
        <w:rPr>
          <w:rStyle w:val="9"/>
          <w:rFonts w:ascii="Times New Roman" w:hAnsi="Times New Roman" w:cs="Times New Roman" w:eastAsiaTheme="majorEastAsia"/>
          <w:sz w:val="28"/>
          <w:szCs w:val="28"/>
        </w:rPr>
        <w:t>2</w:t>
      </w:r>
      <w:r>
        <w:rPr>
          <w:rStyle w:val="9"/>
          <w:rFonts w:ascii="Times New Roman" w:cs="Times New Roman" w:hAnsiTheme="majorEastAsia" w:eastAsiaTheme="majorEastAsia"/>
          <w:sz w:val="28"/>
          <w:szCs w:val="28"/>
        </w:rPr>
        <w:t>．规范实践环节，强化应用统计专业硕士研究生的实践技能。</w:t>
      </w:r>
    </w:p>
    <w:p>
      <w:pPr>
        <w:spacing w:line="360" w:lineRule="auto"/>
        <w:ind w:firstLine="560" w:firstLineChars="200"/>
        <w:jc w:val="left"/>
        <w:rPr>
          <w:rStyle w:val="9"/>
          <w:rFonts w:ascii="Times New Roman" w:hAnsi="Times New Roman" w:cs="Times New Roman" w:eastAsiaTheme="majorEastAsia"/>
          <w:sz w:val="28"/>
          <w:szCs w:val="28"/>
        </w:rPr>
      </w:pPr>
      <w:r>
        <w:rPr>
          <w:rStyle w:val="9"/>
          <w:rFonts w:ascii="Times New Roman" w:hAnsi="Times New Roman" w:cs="Times New Roman" w:eastAsiaTheme="majorEastAsia"/>
          <w:sz w:val="28"/>
          <w:szCs w:val="28"/>
        </w:rPr>
        <w:t>3</w:t>
      </w:r>
      <w:r>
        <w:rPr>
          <w:rStyle w:val="9"/>
          <w:rFonts w:ascii="Times New Roman" w:cs="Times New Roman" w:hAnsiTheme="majorEastAsia" w:eastAsiaTheme="majorEastAsia"/>
          <w:sz w:val="28"/>
          <w:szCs w:val="28"/>
        </w:rPr>
        <w:t>．制定研究生招生改革方案，加大专业统计硕士的招生宣传力度、深度和广度，千方百计争取本校优秀生源继续留校深造，大力吸引校外优秀生源，改善生源结构和质量。</w:t>
      </w:r>
    </w:p>
    <w:p>
      <w:pPr>
        <w:spacing w:line="360" w:lineRule="auto"/>
        <w:ind w:firstLine="560" w:firstLineChars="200"/>
        <w:jc w:val="left"/>
        <w:rPr>
          <w:rStyle w:val="9"/>
          <w:rFonts w:ascii="Times New Roman" w:hAnsi="Times New Roman" w:cs="Times New Roman" w:eastAsiaTheme="majorEastAsia"/>
          <w:sz w:val="28"/>
          <w:szCs w:val="28"/>
        </w:rPr>
      </w:pPr>
      <w:r>
        <w:rPr>
          <w:rStyle w:val="9"/>
          <w:rFonts w:ascii="Times New Roman" w:hAnsi="Times New Roman" w:cs="Times New Roman" w:eastAsiaTheme="majorEastAsia"/>
          <w:sz w:val="28"/>
          <w:szCs w:val="28"/>
        </w:rPr>
        <w:t>4</w:t>
      </w:r>
      <w:r>
        <w:rPr>
          <w:rStyle w:val="9"/>
          <w:rFonts w:ascii="Times New Roman" w:cs="Times New Roman" w:hAnsiTheme="majorEastAsia" w:eastAsiaTheme="majorEastAsia"/>
          <w:sz w:val="28"/>
          <w:szCs w:val="28"/>
        </w:rPr>
        <w:t>．加强开展以</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重教育、正学风、扬校风</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为建设主题的校风学风建设年活动，举办如新生入学专题学风教育实践活动、加强学术道德规范课程建设等活动，秉承</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自强不息、独树一帜</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的校训精神，传承</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勤奋、求实、进取</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的优良学风，进一步加强校风学风建设，推动学校</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双一流</w:t>
      </w:r>
      <w:r>
        <w:rPr>
          <w:rStyle w:val="9"/>
          <w:rFonts w:ascii="Times New Roman" w:hAnsi="Times New Roman" w:cs="Times New Roman" w:eastAsiaTheme="majorEastAsia"/>
          <w:sz w:val="28"/>
          <w:szCs w:val="28"/>
        </w:rPr>
        <w:t>”</w:t>
      </w:r>
      <w:r>
        <w:rPr>
          <w:rStyle w:val="9"/>
          <w:rFonts w:ascii="Times New Roman" w:cs="Times New Roman" w:hAnsiTheme="majorEastAsia" w:eastAsiaTheme="majorEastAsia"/>
          <w:sz w:val="28"/>
          <w:szCs w:val="28"/>
        </w:rPr>
        <w:t>建设和发展。</w:t>
      </w:r>
    </w:p>
    <w:p>
      <w:pPr>
        <w:rPr>
          <w:rFonts w:ascii="Times New Roman" w:hAnsi="Times New Roman" w:cs="Times New Roman" w:eastAsiaTheme="majorEastAsia"/>
        </w:rPr>
      </w:pPr>
    </w:p>
    <w:p>
      <w:pPr>
        <w:ind w:firstLine="642"/>
        <w:rPr>
          <w:rFonts w:ascii="Times New Roman" w:hAnsi="Times New Roman" w:cs="Times New Roman" w:eastAsiaTheme="majorEastAsia"/>
          <w:sz w:val="30"/>
          <w:szCs w:val="30"/>
        </w:rPr>
      </w:pPr>
    </w:p>
    <w:p>
      <w:pPr>
        <w:rPr>
          <w:rFonts w:ascii="Times New Roman" w:hAnsi="Times New Roman" w:cs="Times New Roman" w:eastAsiaTheme="maj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textAlignment w:val="baseline"/>
      <w:rPr>
        <w:rStyle w:val="9"/>
        <w:rFonts w:ascii="Times New Roman" w:hAnsi="Times New Roman" w:eastAsia="宋体"/>
        <w:sz w:val="18"/>
        <w:szCs w:val="18"/>
      </w:rPr>
    </w:pPr>
    <w:r>
      <w:pict>
        <v:shape id="文本框 11" o:spid="_x0000_s4098" o:spt="202" type="#_x0000_t202" style="position:absolute;left:0pt;margin-top:0pt;height:11pt;width:9.1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">
          <v:path arrowok="t"/>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w:r>
    <w:r>
      <w:rPr>
        <w:rStyle w:val="9"/>
        <w:rFonts w:ascii="Times New Roman" w:hAnsi="Times New Roman" w:eastAsia="宋体"/>
        <w:sz w:val="18"/>
        <w:szCs w:val="18"/>
      </w:rPr>
      <w:pict>
        <v:shape id="文本框 12" o:spid="_x0000_s4097" o:spt="202" type="#_x0000_t202" style="position:absolute;left:0pt;margin-top:0.65pt;height:144pt;width:144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">
          <v:path arrowok="t"/>
          <v:fill on="f" focussize="0,0"/>
          <v:stroke on="f" weight="1.25pt" joinstyle="miter"/>
          <v:imagedata o:title=""/>
          <o:lock v:ext="edit"/>
          <v:textbox inset="0mm,0mm,0mm,0mm">
            <w:txbxContent>
              <w:p>
                <w:pPr>
                  <w:pStyle w:val="4"/>
                  <w:widowControl/>
                  <w:jc w:val="both"/>
                  <w:textAlignment w:val="baseline"/>
                  <w:rPr>
                    <w:rStyle w:val="9"/>
                    <w:rFonts w:ascii="Times New Roman" w:hAnsi="Times New Roman" w:eastAsia="宋体"/>
                    <w:sz w:val="20"/>
                    <w:szCs w:val="18"/>
                  </w:rPr>
                </w:pPr>
              </w:p>
              <w:p>
                <w:pPr>
                  <w:textAlignment w:val="baseline"/>
                  <w:rPr>
                    <w:rStyle w:val="9"/>
                    <w:rFonts w:ascii="Times New Roman" w:hAnsi="Times New Roman" w:eastAsia="宋体"/>
                    <w:sz w:val="21"/>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F869E"/>
    <w:multiLevelType w:val="singleLevel"/>
    <w:tmpl w:val="A76F869E"/>
    <w:lvl w:ilvl="0" w:tentative="0">
      <w:start w:val="2"/>
      <w:numFmt w:val="decimal"/>
      <w:lvlText w:val="%1."/>
      <w:lvlJc w:val="left"/>
      <w:pPr>
        <w:tabs>
          <w:tab w:val="left" w:pos="312"/>
        </w:tabs>
      </w:pPr>
    </w:lvl>
  </w:abstractNum>
  <w:abstractNum w:abstractNumId="1">
    <w:nsid w:val="18044762"/>
    <w:multiLevelType w:val="singleLevel"/>
    <w:tmpl w:val="18044762"/>
    <w:lvl w:ilvl="0" w:tentative="0">
      <w:start w:val="3"/>
      <w:numFmt w:val="decimal"/>
      <w:suff w:val="space"/>
      <w:lvlText w:val="%1."/>
      <w:lvlJc w:val="left"/>
    </w:lvl>
  </w:abstractNum>
  <w:abstractNum w:abstractNumId="2">
    <w:nsid w:val="268F336F"/>
    <w:multiLevelType w:val="singleLevel"/>
    <w:tmpl w:val="268F336F"/>
    <w:lvl w:ilvl="0" w:tentative="0">
      <w:start w:val="2"/>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E1BB6"/>
    <w:rsid w:val="0005668D"/>
    <w:rsid w:val="000A0CBD"/>
    <w:rsid w:val="00114259"/>
    <w:rsid w:val="00132477"/>
    <w:rsid w:val="00185A0C"/>
    <w:rsid w:val="001A25B1"/>
    <w:rsid w:val="001E3320"/>
    <w:rsid w:val="0022187D"/>
    <w:rsid w:val="00225270"/>
    <w:rsid w:val="002402BF"/>
    <w:rsid w:val="00271C4E"/>
    <w:rsid w:val="002C3AE2"/>
    <w:rsid w:val="002E0486"/>
    <w:rsid w:val="002F3FCD"/>
    <w:rsid w:val="00335333"/>
    <w:rsid w:val="00355922"/>
    <w:rsid w:val="003622DD"/>
    <w:rsid w:val="003C33E4"/>
    <w:rsid w:val="00411376"/>
    <w:rsid w:val="00434388"/>
    <w:rsid w:val="00482C14"/>
    <w:rsid w:val="00525F2D"/>
    <w:rsid w:val="00562F6B"/>
    <w:rsid w:val="0059025F"/>
    <w:rsid w:val="005A6AE0"/>
    <w:rsid w:val="005D1EEF"/>
    <w:rsid w:val="005E2FEB"/>
    <w:rsid w:val="0062300D"/>
    <w:rsid w:val="006E40C3"/>
    <w:rsid w:val="006E5833"/>
    <w:rsid w:val="007413B2"/>
    <w:rsid w:val="007537AE"/>
    <w:rsid w:val="007C58E6"/>
    <w:rsid w:val="007C706C"/>
    <w:rsid w:val="00822179"/>
    <w:rsid w:val="008D77B9"/>
    <w:rsid w:val="009143BE"/>
    <w:rsid w:val="00933B49"/>
    <w:rsid w:val="00986F5E"/>
    <w:rsid w:val="009A7351"/>
    <w:rsid w:val="009E24AB"/>
    <w:rsid w:val="00A545BD"/>
    <w:rsid w:val="00A55DF2"/>
    <w:rsid w:val="00A5779B"/>
    <w:rsid w:val="00AD4A9A"/>
    <w:rsid w:val="00B45F9F"/>
    <w:rsid w:val="00BC00D1"/>
    <w:rsid w:val="00BC1CCC"/>
    <w:rsid w:val="00C13213"/>
    <w:rsid w:val="00C37510"/>
    <w:rsid w:val="00C74888"/>
    <w:rsid w:val="00CA5450"/>
    <w:rsid w:val="00CF065A"/>
    <w:rsid w:val="00CF3647"/>
    <w:rsid w:val="00D103D9"/>
    <w:rsid w:val="00D12764"/>
    <w:rsid w:val="00D77882"/>
    <w:rsid w:val="00DC1713"/>
    <w:rsid w:val="00DE1BB6"/>
    <w:rsid w:val="00E27C0A"/>
    <w:rsid w:val="00E51514"/>
    <w:rsid w:val="00EA3AB9"/>
    <w:rsid w:val="00F17D4A"/>
    <w:rsid w:val="00F31C81"/>
    <w:rsid w:val="00F7306A"/>
    <w:rsid w:val="00F94017"/>
    <w:rsid w:val="00F96137"/>
    <w:rsid w:val="05E541D8"/>
    <w:rsid w:val="0962465F"/>
    <w:rsid w:val="09B24150"/>
    <w:rsid w:val="0A446D6A"/>
    <w:rsid w:val="0A610177"/>
    <w:rsid w:val="0DE4193F"/>
    <w:rsid w:val="0F8F0773"/>
    <w:rsid w:val="1AFC32B5"/>
    <w:rsid w:val="23D473C8"/>
    <w:rsid w:val="30AB5CB4"/>
    <w:rsid w:val="39112CE2"/>
    <w:rsid w:val="394807B7"/>
    <w:rsid w:val="3BA30A51"/>
    <w:rsid w:val="3CAB70F1"/>
    <w:rsid w:val="3FF24CBE"/>
    <w:rsid w:val="41957E85"/>
    <w:rsid w:val="45BB3347"/>
    <w:rsid w:val="47406F65"/>
    <w:rsid w:val="4959512B"/>
    <w:rsid w:val="4ACB03B8"/>
    <w:rsid w:val="515C5170"/>
    <w:rsid w:val="5BEA2608"/>
    <w:rsid w:val="630540B8"/>
    <w:rsid w:val="69624C27"/>
    <w:rsid w:val="6F595860"/>
    <w:rsid w:val="7E8A4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uiPriority w:val="0"/>
    <w:rPr>
      <w:sz w:val="18"/>
      <w:szCs w:val="18"/>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NormalCharacter"/>
    <w:qFormat/>
    <w:uiPriority w:val="0"/>
    <w:rPr>
      <w:rFonts w:eastAsia="方正仿宋简体" w:asciiTheme="minorHAnsi" w:hAnsiTheme="minorHAnsi" w:cstheme="minorBidi"/>
      <w:kern w:val="2"/>
      <w:sz w:val="32"/>
      <w:szCs w:val="24"/>
      <w:lang w:val="en-US" w:eastAsia="zh-CN" w:bidi="ar-SA"/>
    </w:rPr>
  </w:style>
  <w:style w:type="paragraph" w:customStyle="1" w:styleId="10">
    <w:name w:val="Heading3"/>
    <w:basedOn w:val="1"/>
    <w:next w:val="1"/>
    <w:qFormat/>
    <w:uiPriority w:val="0"/>
    <w:pPr>
      <w:spacing w:line="600" w:lineRule="exact"/>
      <w:ind w:firstLine="640" w:firstLineChars="200"/>
      <w:textAlignment w:val="baseline"/>
    </w:pPr>
    <w:rPr>
      <w:rFonts w:ascii="黑体" w:hAnsi="黑体" w:eastAsia="黑体"/>
      <w:color w:val="000000"/>
      <w:szCs w:val="32"/>
    </w:rPr>
  </w:style>
  <w:style w:type="character" w:customStyle="1" w:styleId="11">
    <w:name w:val="页眉 Char"/>
    <w:basedOn w:val="8"/>
    <w:link w:val="5"/>
    <w:qFormat/>
    <w:uiPriority w:val="0"/>
    <w:rPr>
      <w:kern w:val="2"/>
      <w:sz w:val="18"/>
      <w:szCs w:val="18"/>
    </w:rPr>
  </w:style>
  <w:style w:type="paragraph" w:styleId="12">
    <w:name w:val="List Paragraph"/>
    <w:basedOn w:val="1"/>
    <w:unhideWhenUsed/>
    <w:qFormat/>
    <w:uiPriority w:val="99"/>
    <w:pPr>
      <w:ind w:firstLine="420" w:firstLineChars="200"/>
    </w:p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4">
    <w:name w:val="批注框文本 Char"/>
    <w:basedOn w:val="8"/>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1004</Words>
  <Characters>5726</Characters>
  <Lines>47</Lines>
  <Paragraphs>13</Paragraphs>
  <TotalTime>110</TotalTime>
  <ScaleCrop>false</ScaleCrop>
  <LinksUpToDate>false</LinksUpToDate>
  <CharactersWithSpaces>6717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2021-08-02T07:54:00Z</dcterms:created>
  <dc:creator>Administrator</dc:creator>
  <cp:lastModifiedBy>Administrator</cp:lastModifiedBy>
  <cp:lastPrinted>2021-08-26T00:54:00Z</cp:lastPrinted>
  <dcterms:modified xsi:type="dcterms:W3CDTF">2021-09-01T01:25:48Z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D555B6CB5A52400EB1759303897C3685</vt:lpwstr>
  </property>
</Properties>
</file>